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4B78C43B" w14:textId="08CF4500" w:rsidR="0067173F" w:rsidRDefault="009B58D9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>
        <w:rPr>
          <w:rFonts w:asciiTheme="minorHAnsi" w:hAnsiTheme="minorHAnsi" w:cstheme="minorHAnsi"/>
          <w:b/>
          <w:sz w:val="28"/>
          <w:szCs w:val="28"/>
        </w:rPr>
        <w:t xml:space="preserve">Prawie połowa </w:t>
      </w:r>
      <w:r w:rsidR="00860E5F">
        <w:rPr>
          <w:rFonts w:asciiTheme="minorHAnsi" w:hAnsiTheme="minorHAnsi" w:cstheme="minorHAnsi"/>
          <w:b/>
          <w:sz w:val="28"/>
          <w:szCs w:val="28"/>
        </w:rPr>
        <w:t xml:space="preserve">polskich </w:t>
      </w:r>
      <w:r w:rsidR="00CA5181">
        <w:rPr>
          <w:rFonts w:asciiTheme="minorHAnsi" w:hAnsiTheme="minorHAnsi" w:cstheme="minorHAnsi"/>
          <w:b/>
          <w:sz w:val="28"/>
          <w:szCs w:val="28"/>
        </w:rPr>
        <w:t>firm</w:t>
      </w:r>
      <w:r w:rsidR="00F7787A">
        <w:rPr>
          <w:rFonts w:asciiTheme="minorHAnsi" w:hAnsiTheme="minorHAnsi" w:cstheme="minorHAnsi"/>
          <w:b/>
          <w:sz w:val="28"/>
          <w:szCs w:val="28"/>
        </w:rPr>
        <w:t xml:space="preserve"> przemysłowych</w:t>
      </w:r>
      <w:r w:rsidR="00F11A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16F">
        <w:rPr>
          <w:rFonts w:asciiTheme="minorHAnsi" w:hAnsiTheme="minorHAnsi" w:cstheme="minorHAnsi"/>
          <w:b/>
          <w:sz w:val="28"/>
          <w:szCs w:val="28"/>
        </w:rPr>
        <w:t>z branży</w:t>
      </w:r>
      <w:r w:rsidR="008F5289">
        <w:rPr>
          <w:rFonts w:asciiTheme="minorHAnsi" w:hAnsiTheme="minorHAnsi" w:cstheme="minorHAnsi"/>
          <w:b/>
          <w:sz w:val="28"/>
          <w:szCs w:val="28"/>
        </w:rPr>
        <w:t xml:space="preserve"> przetwórstwa</w:t>
      </w:r>
      <w:r w:rsidR="00CA5181">
        <w:rPr>
          <w:rFonts w:asciiTheme="minorHAnsi" w:hAnsiTheme="minorHAnsi" w:cstheme="minorHAnsi"/>
          <w:b/>
          <w:sz w:val="28"/>
          <w:szCs w:val="28"/>
        </w:rPr>
        <w:t xml:space="preserve"> tworzyw sztucznych</w:t>
      </w:r>
      <w:r w:rsidR="00C27CF5">
        <w:rPr>
          <w:rFonts w:asciiTheme="minorHAnsi" w:hAnsiTheme="minorHAnsi" w:cstheme="minorHAnsi"/>
          <w:b/>
          <w:sz w:val="28"/>
          <w:szCs w:val="28"/>
        </w:rPr>
        <w:t xml:space="preserve"> inwest</w:t>
      </w:r>
      <w:r w:rsidR="00462A58">
        <w:rPr>
          <w:rFonts w:asciiTheme="minorHAnsi" w:hAnsiTheme="minorHAnsi" w:cstheme="minorHAnsi"/>
          <w:b/>
          <w:sz w:val="28"/>
          <w:szCs w:val="28"/>
        </w:rPr>
        <w:t>owała</w:t>
      </w:r>
      <w:r w:rsidR="00FA74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CF5">
        <w:rPr>
          <w:rFonts w:asciiTheme="minorHAnsi" w:hAnsiTheme="minorHAnsi" w:cstheme="minorHAnsi"/>
          <w:b/>
          <w:sz w:val="28"/>
          <w:szCs w:val="28"/>
        </w:rPr>
        <w:t>w</w:t>
      </w:r>
      <w:r w:rsidR="00D74963">
        <w:rPr>
          <w:rFonts w:asciiTheme="minorHAnsi" w:hAnsiTheme="minorHAnsi" w:cstheme="minorHAnsi"/>
          <w:b/>
          <w:sz w:val="28"/>
          <w:szCs w:val="28"/>
        </w:rPr>
        <w:t> </w:t>
      </w:r>
      <w:r w:rsidR="00C27CF5">
        <w:rPr>
          <w:rFonts w:asciiTheme="minorHAnsi" w:hAnsiTheme="minorHAnsi" w:cstheme="minorHAnsi"/>
          <w:b/>
          <w:sz w:val="28"/>
          <w:szCs w:val="28"/>
        </w:rPr>
        <w:t>automatyzację</w:t>
      </w:r>
    </w:p>
    <w:bookmarkEnd w:id="0"/>
    <w:bookmarkEnd w:id="4"/>
    <w:p w14:paraId="071432AC" w14:textId="2AADFE97" w:rsidR="0076249F" w:rsidRDefault="00021446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Automatyzacja pro</w:t>
      </w:r>
      <w:r w:rsidR="00997339">
        <w:rPr>
          <w:rFonts w:asciiTheme="minorHAnsi" w:hAnsiTheme="minorHAnsi" w:cstheme="minorHAnsi"/>
          <w:b/>
          <w:sz w:val="22"/>
          <w:szCs w:val="22"/>
        </w:rPr>
        <w:t>cesów produkcji, digitalizacja oraz</w:t>
      </w:r>
      <w:r>
        <w:rPr>
          <w:rFonts w:asciiTheme="minorHAnsi" w:hAnsiTheme="minorHAnsi" w:cstheme="minorHAnsi"/>
          <w:b/>
          <w:sz w:val="22"/>
          <w:szCs w:val="22"/>
        </w:rPr>
        <w:t xml:space="preserve"> nowoczesny park maszyn i urządzeń to klucz do</w:t>
      </w:r>
      <w:r w:rsidR="00E37DF2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 xml:space="preserve">zachowania konkurencyjności oraz większa odporność na kryzysy i zmiany rynkowe. </w:t>
      </w:r>
      <w:r w:rsidR="00311930">
        <w:rPr>
          <w:rFonts w:asciiTheme="minorHAnsi" w:hAnsiTheme="minorHAnsi" w:cstheme="minorHAnsi"/>
          <w:b/>
          <w:sz w:val="22"/>
          <w:szCs w:val="22"/>
        </w:rPr>
        <w:t>Jak wynika z</w:t>
      </w:r>
      <w:r w:rsidR="00E37DF2">
        <w:rPr>
          <w:rFonts w:asciiTheme="minorHAnsi" w:hAnsiTheme="minorHAnsi" w:cstheme="minorHAnsi"/>
          <w:b/>
          <w:sz w:val="22"/>
          <w:szCs w:val="22"/>
        </w:rPr>
        <w:t> </w:t>
      </w:r>
      <w:r w:rsidR="00311930">
        <w:rPr>
          <w:rFonts w:asciiTheme="minorHAnsi" w:hAnsiTheme="minorHAnsi" w:cstheme="minorHAnsi"/>
          <w:b/>
          <w:sz w:val="22"/>
          <w:szCs w:val="22"/>
        </w:rPr>
        <w:t>badania Siemens Financial Services, co druga mała i średnia firma przemysłowa z sektora</w:t>
      </w:r>
      <w:r w:rsidR="009A55E3">
        <w:rPr>
          <w:rFonts w:asciiTheme="minorHAnsi" w:hAnsiTheme="minorHAnsi" w:cstheme="minorHAnsi"/>
          <w:b/>
          <w:sz w:val="22"/>
          <w:szCs w:val="22"/>
        </w:rPr>
        <w:t xml:space="preserve"> przetwórstwa</w:t>
      </w:r>
      <w:r w:rsidR="00311930">
        <w:rPr>
          <w:rFonts w:asciiTheme="minorHAnsi" w:hAnsiTheme="minorHAnsi" w:cstheme="minorHAnsi"/>
          <w:b/>
          <w:sz w:val="22"/>
          <w:szCs w:val="22"/>
        </w:rPr>
        <w:t xml:space="preserve"> tworzyw sztucznych zwiększyła automatyzację, a co trzec</w:t>
      </w:r>
      <w:r w:rsidR="00997339">
        <w:rPr>
          <w:rFonts w:asciiTheme="minorHAnsi" w:hAnsiTheme="minorHAnsi" w:cstheme="minorHAnsi"/>
          <w:b/>
          <w:sz w:val="22"/>
          <w:szCs w:val="22"/>
        </w:rPr>
        <w:t>ia również nakłady na odnowienie</w:t>
      </w:r>
      <w:r w:rsidR="00311930">
        <w:rPr>
          <w:rFonts w:asciiTheme="minorHAnsi" w:hAnsiTheme="minorHAnsi" w:cstheme="minorHAnsi"/>
          <w:b/>
          <w:sz w:val="22"/>
          <w:szCs w:val="22"/>
        </w:rPr>
        <w:t xml:space="preserve"> parku maszyn i</w:t>
      </w:r>
      <w:r w:rsidR="00A43166">
        <w:rPr>
          <w:rFonts w:asciiTheme="minorHAnsi" w:hAnsiTheme="minorHAnsi" w:cstheme="minorHAnsi"/>
          <w:b/>
          <w:sz w:val="22"/>
          <w:szCs w:val="22"/>
        </w:rPr>
        <w:t> </w:t>
      </w:r>
      <w:r w:rsidR="00311930">
        <w:rPr>
          <w:rFonts w:asciiTheme="minorHAnsi" w:hAnsiTheme="minorHAnsi" w:cstheme="minorHAnsi"/>
          <w:b/>
          <w:sz w:val="22"/>
          <w:szCs w:val="22"/>
        </w:rPr>
        <w:t>urządzeń</w:t>
      </w:r>
      <w:r w:rsidR="00AB4C16">
        <w:rPr>
          <w:rFonts w:asciiTheme="minorHAnsi" w:hAnsiTheme="minorHAnsi" w:cstheme="minorHAnsi"/>
          <w:b/>
          <w:sz w:val="22"/>
          <w:szCs w:val="22"/>
        </w:rPr>
        <w:t>, w </w:t>
      </w:r>
      <w:r w:rsidR="00311930">
        <w:rPr>
          <w:rFonts w:asciiTheme="minorHAnsi" w:hAnsiTheme="minorHAnsi" w:cstheme="minorHAnsi"/>
          <w:b/>
          <w:sz w:val="22"/>
          <w:szCs w:val="22"/>
        </w:rPr>
        <w:t>porównaniu do ubiegłego roku</w:t>
      </w:r>
      <w:r w:rsidR="00997339">
        <w:rPr>
          <w:rFonts w:asciiTheme="minorHAnsi" w:hAnsiTheme="minorHAnsi" w:cstheme="minorHAnsi"/>
          <w:b/>
          <w:sz w:val="22"/>
          <w:szCs w:val="22"/>
        </w:rPr>
        <w:t xml:space="preserve"> - n</w:t>
      </w:r>
      <w:r w:rsidR="00F7787A">
        <w:rPr>
          <w:rFonts w:asciiTheme="minorHAnsi" w:hAnsiTheme="minorHAnsi" w:cstheme="minorHAnsi"/>
          <w:b/>
          <w:sz w:val="22"/>
          <w:szCs w:val="22"/>
        </w:rPr>
        <w:t>ajczęściej finansując to</w:t>
      </w:r>
      <w:r w:rsidR="00997339">
        <w:rPr>
          <w:rFonts w:asciiTheme="minorHAnsi" w:hAnsiTheme="minorHAnsi" w:cstheme="minorHAnsi"/>
          <w:b/>
          <w:sz w:val="22"/>
          <w:szCs w:val="22"/>
        </w:rPr>
        <w:t xml:space="preserve"> zyskiem lub leasingiem.</w:t>
      </w:r>
      <w:r w:rsidR="00311930">
        <w:rPr>
          <w:rFonts w:asciiTheme="minorHAnsi" w:hAnsiTheme="minorHAnsi" w:cstheme="minorHAnsi"/>
          <w:b/>
          <w:sz w:val="22"/>
          <w:szCs w:val="22"/>
        </w:rPr>
        <w:t xml:space="preserve"> Przed branżą</w:t>
      </w:r>
      <w:r w:rsidR="00AB4C16">
        <w:rPr>
          <w:rFonts w:asciiTheme="minorHAnsi" w:hAnsiTheme="minorHAnsi" w:cstheme="minorHAnsi"/>
          <w:b/>
          <w:sz w:val="22"/>
          <w:szCs w:val="22"/>
        </w:rPr>
        <w:t xml:space="preserve"> jednak jeszcze</w:t>
      </w:r>
      <w:r w:rsidR="00311930">
        <w:rPr>
          <w:rFonts w:asciiTheme="minorHAnsi" w:hAnsiTheme="minorHAnsi" w:cstheme="minorHAnsi"/>
          <w:b/>
          <w:sz w:val="22"/>
          <w:szCs w:val="22"/>
        </w:rPr>
        <w:t xml:space="preserve"> wiele inwestycji, ponieważ </w:t>
      </w:r>
      <w:r w:rsidR="0076249F">
        <w:rPr>
          <w:rFonts w:asciiTheme="minorHAnsi" w:hAnsiTheme="minorHAnsi" w:cstheme="minorHAnsi"/>
          <w:b/>
          <w:sz w:val="22"/>
          <w:szCs w:val="22"/>
        </w:rPr>
        <w:t xml:space="preserve">swoje przygotowanie do konkurowania </w:t>
      </w:r>
      <w:r w:rsidR="00F23EA8">
        <w:rPr>
          <w:rFonts w:asciiTheme="minorHAnsi" w:hAnsiTheme="minorHAnsi" w:cstheme="minorHAnsi"/>
          <w:b/>
          <w:sz w:val="22"/>
          <w:szCs w:val="22"/>
        </w:rPr>
        <w:t>-</w:t>
      </w:r>
      <w:r w:rsidR="00762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736E">
        <w:rPr>
          <w:rFonts w:asciiTheme="minorHAnsi" w:hAnsiTheme="minorHAnsi" w:cstheme="minorHAnsi"/>
          <w:b/>
          <w:sz w:val="22"/>
          <w:szCs w:val="22"/>
        </w:rPr>
        <w:t>na tle</w:t>
      </w:r>
      <w:r w:rsidR="0076249F">
        <w:rPr>
          <w:rFonts w:asciiTheme="minorHAnsi" w:hAnsiTheme="minorHAnsi" w:cstheme="minorHAnsi"/>
          <w:b/>
          <w:sz w:val="22"/>
          <w:szCs w:val="22"/>
        </w:rPr>
        <w:t xml:space="preserve"> zagranicznych podmiotów - lepiej oceniło zaledwie 7 proc. przedsiębiorstw.</w:t>
      </w:r>
    </w:p>
    <w:p w14:paraId="184A7C07" w14:textId="6CA66B18" w:rsidR="00164A02" w:rsidRPr="009821F1" w:rsidRDefault="00164A02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1F1">
        <w:rPr>
          <w:rFonts w:asciiTheme="minorHAnsi" w:hAnsiTheme="minorHAnsi" w:cstheme="minorHAnsi"/>
          <w:b/>
          <w:bCs/>
          <w:sz w:val="22"/>
          <w:szCs w:val="22"/>
        </w:rPr>
        <w:t>Rośnie automatyzacja i jakość parków maszynowych</w:t>
      </w:r>
    </w:p>
    <w:p w14:paraId="7CA3BCD3" w14:textId="1C6562FB" w:rsidR="005D5273" w:rsidRPr="005D5273" w:rsidRDefault="005D5273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96E06">
        <w:rPr>
          <w:rFonts w:asciiTheme="minorHAnsi" w:hAnsiTheme="minorHAnsi" w:cstheme="minorHAnsi"/>
          <w:iCs/>
          <w:sz w:val="22"/>
          <w:szCs w:val="22"/>
        </w:rPr>
        <w:t xml:space="preserve">Automatyzacja, digitalizacja oraz nowoczesny park maszyn i urządzań są niezbędne do zachowania konkurencyjności i utrzymania się na rynku. Zwłaszcza, w czasie obecnej pandemii, gdy przedsiębiorcy muszą być przygotowani na nagłe zmiany rynkowe, a także są zobligowani do zachowywania dystansu społecznego i rygoru sanitarnego. </w:t>
      </w:r>
    </w:p>
    <w:p w14:paraId="3D2BFD6F" w14:textId="47C44535" w:rsidR="00164A02" w:rsidRDefault="00164A02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Polskie firmy przetwórstwa tworzyw sztucznych są świadome, że automatyzacja to klucz do budowania pozycji rynkowej. Według </w:t>
      </w:r>
      <w:r w:rsidR="009821F1">
        <w:rPr>
          <w:rFonts w:asciiTheme="minorHAnsi" w:hAnsiTheme="minorHAnsi" w:cstheme="minorHAnsi"/>
          <w:sz w:val="22"/>
          <w:szCs w:val="22"/>
        </w:rPr>
        <w:t>badania Siemens Financial Services</w:t>
      </w:r>
      <w:r w:rsidR="006455E8">
        <w:rPr>
          <w:rFonts w:asciiTheme="minorHAnsi" w:hAnsiTheme="minorHAnsi" w:cstheme="minorHAnsi"/>
          <w:sz w:val="22"/>
          <w:szCs w:val="22"/>
        </w:rPr>
        <w:t xml:space="preserve"> prawie co drugie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5E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47 proc.</w:t>
      </w:r>
      <w:r w:rsidR="006455E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przedsiębiorstw</w:t>
      </w:r>
      <w:r w:rsidR="006455E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5E8">
        <w:rPr>
          <w:rFonts w:asciiTheme="minorHAnsi" w:hAnsiTheme="minorHAnsi" w:cstheme="minorHAnsi"/>
          <w:sz w:val="22"/>
          <w:szCs w:val="22"/>
        </w:rPr>
        <w:t>zwiększyło poziom</w:t>
      </w:r>
      <w:r>
        <w:rPr>
          <w:rFonts w:asciiTheme="minorHAnsi" w:hAnsiTheme="minorHAnsi" w:cstheme="minorHAnsi"/>
          <w:sz w:val="22"/>
          <w:szCs w:val="22"/>
        </w:rPr>
        <w:t xml:space="preserve"> automatyzacji w stosunku do 2019 roku,</w:t>
      </w:r>
      <w:r w:rsidR="006455E8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sz w:val="22"/>
          <w:szCs w:val="22"/>
        </w:rPr>
        <w:t xml:space="preserve">o spadku wspomniało </w:t>
      </w:r>
      <w:r w:rsidR="006455E8">
        <w:rPr>
          <w:rFonts w:asciiTheme="minorHAnsi" w:hAnsiTheme="minorHAnsi" w:cstheme="minorHAnsi"/>
          <w:sz w:val="22"/>
          <w:szCs w:val="22"/>
        </w:rPr>
        <w:t>zaledwie</w:t>
      </w:r>
      <w:r>
        <w:rPr>
          <w:rFonts w:asciiTheme="minorHAnsi" w:hAnsiTheme="minorHAnsi" w:cstheme="minorHAnsi"/>
          <w:sz w:val="22"/>
          <w:szCs w:val="22"/>
        </w:rPr>
        <w:t xml:space="preserve"> 2 proc. </w:t>
      </w:r>
      <w:r w:rsidR="006455E8">
        <w:rPr>
          <w:rFonts w:asciiTheme="minorHAnsi" w:hAnsiTheme="minorHAnsi" w:cstheme="minorHAnsi"/>
          <w:sz w:val="22"/>
          <w:szCs w:val="22"/>
        </w:rPr>
        <w:t>ankietowanych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E4818" w14:textId="17882B67" w:rsidR="006455E8" w:rsidRDefault="00B43977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5E8" w:rsidRPr="00F911B1">
        <w:rPr>
          <w:rFonts w:asciiTheme="minorHAnsi" w:hAnsiTheme="minorHAnsi" w:cstheme="minorHAnsi"/>
          <w:i/>
          <w:iCs/>
          <w:sz w:val="22"/>
          <w:szCs w:val="22"/>
        </w:rPr>
        <w:t>Jak wynika z naszego badania, branża</w:t>
      </w:r>
      <w:r w:rsidR="009A55E3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przetwórstwa</w:t>
      </w:r>
      <w:r w:rsidR="006455E8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tworzyw sztucznych była dużo lepiej przygotowana pod względem automatyzacji produkcji niż np. poligraficzna, 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spożywcza </w:t>
      </w:r>
      <w:r w:rsidR="006455E8" w:rsidRPr="00F911B1">
        <w:rPr>
          <w:rFonts w:asciiTheme="minorHAnsi" w:hAnsiTheme="minorHAnsi" w:cstheme="minorHAnsi"/>
          <w:i/>
          <w:iCs/>
          <w:sz w:val="22"/>
          <w:szCs w:val="22"/>
        </w:rPr>
        <w:t>czy obróbki metali. Nie jest to</w:t>
      </w:r>
      <w:r w:rsidR="00E37DF2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6455E8" w:rsidRPr="00F911B1">
        <w:rPr>
          <w:rFonts w:asciiTheme="minorHAnsi" w:hAnsiTheme="minorHAnsi" w:cstheme="minorHAnsi"/>
          <w:i/>
          <w:iCs/>
          <w:sz w:val="22"/>
          <w:szCs w:val="22"/>
        </w:rPr>
        <w:t>jednoroczny przypadek, ponieważ aż 49 proc. ankietowanych przedsiębiorców chciało zwiększać automatyzację również w przyszłym roku, co także było najlepszym wynikiem na tle pozostałych trzech sektorów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5D5273">
        <w:rPr>
          <w:rFonts w:asciiTheme="minorHAnsi" w:hAnsiTheme="minorHAnsi" w:cstheme="minorHAnsi"/>
          <w:sz w:val="22"/>
          <w:szCs w:val="22"/>
        </w:rPr>
        <w:t>mówi</w:t>
      </w:r>
      <w:r w:rsidR="005D5273" w:rsidRPr="005F5BDE">
        <w:rPr>
          <w:rFonts w:asciiTheme="minorHAnsi" w:hAnsiTheme="minorHAnsi" w:cstheme="minorHAnsi"/>
          <w:sz w:val="22"/>
          <w:szCs w:val="22"/>
        </w:rPr>
        <w:t xml:space="preserve"> </w:t>
      </w:r>
      <w:r w:rsidR="005D5273">
        <w:rPr>
          <w:rFonts w:asciiTheme="minorHAnsi" w:hAnsiTheme="minorHAnsi" w:cstheme="minorHAnsi"/>
          <w:b/>
          <w:sz w:val="22"/>
          <w:szCs w:val="22"/>
        </w:rPr>
        <w:t>Tomasz Kukulski</w:t>
      </w:r>
      <w:r w:rsidR="005D5273" w:rsidRPr="005F5BDE">
        <w:rPr>
          <w:rFonts w:asciiTheme="minorHAnsi" w:hAnsiTheme="minorHAnsi" w:cstheme="minorHAnsi"/>
          <w:sz w:val="22"/>
          <w:szCs w:val="22"/>
        </w:rPr>
        <w:t>,</w:t>
      </w:r>
      <w:r w:rsidR="005D5273">
        <w:rPr>
          <w:rFonts w:asciiTheme="minorHAnsi" w:hAnsiTheme="minorHAnsi" w:cstheme="minorHAnsi"/>
          <w:sz w:val="22"/>
          <w:szCs w:val="22"/>
        </w:rPr>
        <w:t xml:space="preserve"> </w:t>
      </w:r>
      <w:r w:rsidR="005D5273" w:rsidRPr="00990790">
        <w:rPr>
          <w:rFonts w:asciiTheme="minorHAnsi" w:hAnsiTheme="minorHAnsi" w:cstheme="minorHAnsi"/>
          <w:sz w:val="22"/>
          <w:szCs w:val="22"/>
        </w:rPr>
        <w:t>Prezes Zarządu Siem</w:t>
      </w:r>
      <w:r w:rsidR="005D5273">
        <w:rPr>
          <w:rFonts w:asciiTheme="minorHAnsi" w:hAnsiTheme="minorHAnsi" w:cstheme="minorHAnsi"/>
          <w:sz w:val="22"/>
          <w:szCs w:val="22"/>
        </w:rPr>
        <w:t>ens Financial Services w Polsce</w:t>
      </w:r>
      <w:r w:rsidR="006455E8">
        <w:rPr>
          <w:rFonts w:asciiTheme="minorHAnsi" w:hAnsiTheme="minorHAnsi" w:cstheme="minorHAnsi"/>
          <w:sz w:val="22"/>
          <w:szCs w:val="22"/>
        </w:rPr>
        <w:t>.</w:t>
      </w:r>
    </w:p>
    <w:p w14:paraId="3C8D8640" w14:textId="177D499B" w:rsidR="005529DA" w:rsidRDefault="00052B54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7B6EDB9" wp14:editId="2056A666">
            <wp:extent cx="6115050" cy="18224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CFE030" w14:textId="77777777" w:rsidR="005529DA" w:rsidRDefault="005529DA" w:rsidP="005529DA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>u Keralla Research</w:t>
      </w:r>
      <w:r w:rsidRPr="00D37965">
        <w:rPr>
          <w:sz w:val="16"/>
          <w:szCs w:val="16"/>
        </w:rPr>
        <w:t xml:space="preserve"> na zlecenie Siemens Financial Services, marzec 2020.</w:t>
      </w:r>
    </w:p>
    <w:p w14:paraId="52E5D2C4" w14:textId="6F58B4CA" w:rsidR="009A5622" w:rsidRDefault="009A5622" w:rsidP="00744C7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Firmy</w:t>
      </w:r>
      <w:r w:rsidR="00DD2D58">
        <w:rPr>
          <w:rFonts w:asciiTheme="minorHAnsi" w:hAnsiTheme="minorHAnsi" w:cstheme="minorHAnsi"/>
          <w:sz w:val="22"/>
          <w:szCs w:val="22"/>
        </w:rPr>
        <w:t xml:space="preserve"> z branży tworzyw sztucznych </w:t>
      </w:r>
      <w:r w:rsidR="00B43977">
        <w:rPr>
          <w:rFonts w:asciiTheme="minorHAnsi" w:hAnsiTheme="minorHAnsi" w:cstheme="minorHAnsi"/>
          <w:sz w:val="22"/>
          <w:szCs w:val="22"/>
        </w:rPr>
        <w:t xml:space="preserve">modernizowały </w:t>
      </w:r>
      <w:r w:rsidR="00DD2D58">
        <w:rPr>
          <w:rFonts w:asciiTheme="minorHAnsi" w:hAnsiTheme="minorHAnsi" w:cstheme="minorHAnsi"/>
          <w:sz w:val="22"/>
          <w:szCs w:val="22"/>
        </w:rPr>
        <w:t>również swoje parki maszynowe. W porównaniu do</w:t>
      </w:r>
      <w:r w:rsidR="00E37DF2">
        <w:rPr>
          <w:rFonts w:asciiTheme="minorHAnsi" w:hAnsiTheme="minorHAnsi" w:cstheme="minorHAnsi"/>
          <w:sz w:val="22"/>
          <w:szCs w:val="22"/>
        </w:rPr>
        <w:t> </w:t>
      </w:r>
      <w:r w:rsidR="00DD2D58">
        <w:rPr>
          <w:rFonts w:asciiTheme="minorHAnsi" w:hAnsiTheme="minorHAnsi" w:cstheme="minorHAnsi"/>
          <w:sz w:val="22"/>
          <w:szCs w:val="22"/>
        </w:rPr>
        <w:t>ubiegłego roku</w:t>
      </w:r>
      <w:r w:rsidR="00B22D28">
        <w:rPr>
          <w:rFonts w:asciiTheme="minorHAnsi" w:hAnsiTheme="minorHAnsi" w:cstheme="minorHAnsi"/>
          <w:sz w:val="22"/>
          <w:szCs w:val="22"/>
        </w:rPr>
        <w:t>,</w:t>
      </w:r>
      <w:r w:rsidR="00DD2D58">
        <w:rPr>
          <w:rFonts w:asciiTheme="minorHAnsi" w:hAnsiTheme="minorHAnsi" w:cstheme="minorHAnsi"/>
          <w:sz w:val="22"/>
          <w:szCs w:val="22"/>
        </w:rPr>
        <w:t xml:space="preserve"> 35 proc. badanych zwiększyło nakłady na jego odnowienie. Na tym samym poziom</w:t>
      </w:r>
      <w:r w:rsidR="002475D4">
        <w:rPr>
          <w:rFonts w:asciiTheme="minorHAnsi" w:hAnsiTheme="minorHAnsi" w:cstheme="minorHAnsi"/>
          <w:sz w:val="22"/>
          <w:szCs w:val="22"/>
        </w:rPr>
        <w:t>i</w:t>
      </w:r>
      <w:r w:rsidR="00DD2D58">
        <w:rPr>
          <w:rFonts w:asciiTheme="minorHAnsi" w:hAnsiTheme="minorHAnsi" w:cstheme="minorHAnsi"/>
          <w:sz w:val="22"/>
          <w:szCs w:val="22"/>
        </w:rPr>
        <w:t>e utrzy</w:t>
      </w:r>
      <w:r w:rsidR="003B691F">
        <w:rPr>
          <w:rFonts w:asciiTheme="minorHAnsi" w:hAnsiTheme="minorHAnsi" w:cstheme="minorHAnsi"/>
          <w:sz w:val="22"/>
          <w:szCs w:val="22"/>
        </w:rPr>
        <w:t>mały</w:t>
      </w:r>
      <w:r w:rsidR="00DD2D58">
        <w:rPr>
          <w:rFonts w:asciiTheme="minorHAnsi" w:hAnsiTheme="minorHAnsi" w:cstheme="minorHAnsi"/>
          <w:sz w:val="22"/>
          <w:szCs w:val="22"/>
        </w:rPr>
        <w:t xml:space="preserve"> się u 56 proc. ankietowanych, a spadły u 9 proc. </w:t>
      </w:r>
      <w:r w:rsidR="00B22D28">
        <w:rPr>
          <w:rFonts w:asciiTheme="minorHAnsi" w:hAnsiTheme="minorHAnsi" w:cstheme="minorHAnsi"/>
          <w:sz w:val="22"/>
          <w:szCs w:val="22"/>
        </w:rPr>
        <w:t>Co ważne, 28 proc. firm</w:t>
      </w:r>
      <w:r w:rsidR="003B691F">
        <w:rPr>
          <w:rFonts w:asciiTheme="minorHAnsi" w:hAnsiTheme="minorHAnsi" w:cstheme="minorHAnsi"/>
          <w:sz w:val="22"/>
          <w:szCs w:val="22"/>
        </w:rPr>
        <w:t xml:space="preserve"> także</w:t>
      </w:r>
      <w:r w:rsidR="00B22D28">
        <w:rPr>
          <w:rFonts w:asciiTheme="minorHAnsi" w:hAnsiTheme="minorHAnsi" w:cstheme="minorHAnsi"/>
          <w:sz w:val="22"/>
          <w:szCs w:val="22"/>
        </w:rPr>
        <w:t xml:space="preserve"> częściej odnawia</w:t>
      </w:r>
      <w:r>
        <w:rPr>
          <w:rFonts w:asciiTheme="minorHAnsi" w:hAnsiTheme="minorHAnsi" w:cstheme="minorHAnsi"/>
          <w:sz w:val="22"/>
          <w:szCs w:val="22"/>
        </w:rPr>
        <w:t>ło</w:t>
      </w:r>
      <w:r w:rsidR="009E2B16">
        <w:rPr>
          <w:rFonts w:asciiTheme="minorHAnsi" w:hAnsiTheme="minorHAnsi" w:cstheme="minorHAnsi"/>
          <w:sz w:val="22"/>
          <w:szCs w:val="22"/>
        </w:rPr>
        <w:t xml:space="preserve"> parki maszyn i </w:t>
      </w:r>
      <w:r w:rsidR="00B22D28">
        <w:rPr>
          <w:rFonts w:asciiTheme="minorHAnsi" w:hAnsiTheme="minorHAnsi" w:cstheme="minorHAnsi"/>
          <w:sz w:val="22"/>
          <w:szCs w:val="22"/>
        </w:rPr>
        <w:t>urządzeń, aby mieć stale nowoczesny sprzęt.</w:t>
      </w:r>
      <w:r w:rsidR="00EF2A7C">
        <w:rPr>
          <w:rFonts w:asciiTheme="minorHAnsi" w:hAnsiTheme="minorHAnsi" w:cstheme="minorHAnsi"/>
          <w:sz w:val="22"/>
          <w:szCs w:val="22"/>
        </w:rPr>
        <w:t xml:space="preserve"> </w:t>
      </w:r>
      <w:r w:rsidR="00BE62A3">
        <w:rPr>
          <w:rFonts w:asciiTheme="minorHAnsi" w:hAnsiTheme="minorHAnsi" w:cstheme="minorHAnsi"/>
          <w:sz w:val="22"/>
          <w:szCs w:val="22"/>
        </w:rPr>
        <w:t>Do spadku częstotliwości przyznało się</w:t>
      </w:r>
      <w:r w:rsidR="00EF2A7C">
        <w:rPr>
          <w:rFonts w:asciiTheme="minorHAnsi" w:hAnsiTheme="minorHAnsi" w:cstheme="minorHAnsi"/>
          <w:sz w:val="22"/>
          <w:szCs w:val="22"/>
        </w:rPr>
        <w:t xml:space="preserve"> tylko 7</w:t>
      </w:r>
      <w:r w:rsidR="00652A68">
        <w:rPr>
          <w:rFonts w:asciiTheme="minorHAnsi" w:hAnsiTheme="minorHAnsi" w:cstheme="minorHAnsi"/>
          <w:sz w:val="22"/>
          <w:szCs w:val="22"/>
        </w:rPr>
        <w:t> </w:t>
      </w:r>
      <w:r w:rsidR="00EF2A7C">
        <w:rPr>
          <w:rFonts w:asciiTheme="minorHAnsi" w:hAnsiTheme="minorHAnsi" w:cstheme="minorHAnsi"/>
          <w:sz w:val="22"/>
          <w:szCs w:val="22"/>
        </w:rPr>
        <w:t xml:space="preserve">proc. </w:t>
      </w:r>
    </w:p>
    <w:p w14:paraId="56059382" w14:textId="051105C3" w:rsidR="008F5289" w:rsidRDefault="00520B4B" w:rsidP="00520B4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 xml:space="preserve">Aby inwestycje w park maszynowy były efektywne, powinny </w:t>
      </w:r>
      <w:r w:rsidR="00B43977">
        <w:rPr>
          <w:rFonts w:asciiTheme="minorHAnsi" w:hAnsiTheme="minorHAnsi" w:cstheme="minorHAnsi"/>
          <w:i/>
          <w:iCs/>
          <w:sz w:val="22"/>
          <w:szCs w:val="22"/>
        </w:rPr>
        <w:t xml:space="preserve">wykorzystywać najnowsze technologie </w:t>
      </w:r>
      <w:r w:rsidR="004D701E">
        <w:rPr>
          <w:rFonts w:asciiTheme="minorHAnsi" w:hAnsiTheme="minorHAnsi" w:cstheme="minorHAnsi"/>
          <w:i/>
          <w:iCs/>
          <w:sz w:val="22"/>
          <w:szCs w:val="22"/>
        </w:rPr>
        <w:t xml:space="preserve">aktualnie </w:t>
      </w:r>
      <w:r w:rsidR="00B43977">
        <w:rPr>
          <w:rFonts w:asciiTheme="minorHAnsi" w:hAnsiTheme="minorHAnsi" w:cstheme="minorHAnsi"/>
          <w:i/>
          <w:iCs/>
          <w:sz w:val="22"/>
          <w:szCs w:val="22"/>
        </w:rPr>
        <w:t xml:space="preserve">stosowane w 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>przetwórstw</w:t>
      </w:r>
      <w:r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 xml:space="preserve"> tworzyw sztucznych. Obecnie identyfikuje się kluczowe trendy, taki</w:t>
      </w:r>
      <w:r w:rsidR="003B691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 xml:space="preserve"> jak zwiększanie zakresu obrabianych materiałów w ramach jednej maszyny, wdrażanie predictive maintenance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652A6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>stosowanie maszyn "szytych na miarę",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02CED">
        <w:rPr>
          <w:rFonts w:asciiTheme="minorHAnsi" w:hAnsiTheme="minorHAnsi" w:cstheme="minorHAnsi"/>
          <w:i/>
          <w:iCs/>
          <w:sz w:val="22"/>
          <w:szCs w:val="22"/>
        </w:rPr>
        <w:t xml:space="preserve">które precyzyjnie obrabiają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tworzywa i redukują ilość odpadów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5BDE">
        <w:rPr>
          <w:rFonts w:asciiTheme="minorHAnsi" w:hAnsiTheme="minorHAnsi" w:cstheme="minorHAnsi"/>
          <w:sz w:val="22"/>
          <w:szCs w:val="22"/>
        </w:rPr>
        <w:t xml:space="preserve">ocenia </w:t>
      </w:r>
      <w:r w:rsidR="008F5289" w:rsidRPr="00A43166">
        <w:rPr>
          <w:rFonts w:asciiTheme="minorHAnsi" w:hAnsiTheme="minorHAnsi" w:cstheme="minorHAnsi"/>
          <w:b/>
          <w:sz w:val="22"/>
          <w:szCs w:val="22"/>
        </w:rPr>
        <w:t>Anita Grygorowicz</w:t>
      </w:r>
      <w:r w:rsidR="008F5289" w:rsidRPr="008F5289">
        <w:rPr>
          <w:rFonts w:asciiTheme="minorHAnsi" w:hAnsiTheme="minorHAnsi" w:cstheme="minorHAnsi"/>
          <w:sz w:val="22"/>
          <w:szCs w:val="22"/>
        </w:rPr>
        <w:t xml:space="preserve">, Szef Zespołu Vendorskiego w Siemens Financial Services.  </w:t>
      </w:r>
    </w:p>
    <w:p w14:paraId="2D1DBCC4" w14:textId="71468F24" w:rsidR="009A5622" w:rsidRDefault="009A5622" w:rsidP="00520B4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Przedsiębiorcy</w:t>
      </w:r>
      <w:r w:rsidR="003B691F">
        <w:rPr>
          <w:rFonts w:asciiTheme="minorHAnsi" w:hAnsiTheme="minorHAnsi" w:cstheme="minorHAnsi"/>
          <w:sz w:val="22"/>
          <w:szCs w:val="22"/>
        </w:rPr>
        <w:t xml:space="preserve"> z tego sektora</w:t>
      </w:r>
      <w:r>
        <w:rPr>
          <w:rFonts w:asciiTheme="minorHAnsi" w:hAnsiTheme="minorHAnsi" w:cstheme="minorHAnsi"/>
          <w:sz w:val="22"/>
          <w:szCs w:val="22"/>
        </w:rPr>
        <w:t xml:space="preserve"> chętniej korzystali również z finansowania zewnętrznego. </w:t>
      </w:r>
      <w:r w:rsidR="003B691F">
        <w:rPr>
          <w:rFonts w:asciiTheme="minorHAnsi" w:hAnsiTheme="minorHAnsi" w:cstheme="minorHAnsi"/>
          <w:sz w:val="22"/>
          <w:szCs w:val="22"/>
        </w:rPr>
        <w:t>W porównaniu do</w:t>
      </w:r>
      <w:r w:rsidR="00E37DF2">
        <w:rPr>
          <w:rFonts w:asciiTheme="minorHAnsi" w:hAnsiTheme="minorHAnsi" w:cstheme="minorHAnsi"/>
          <w:sz w:val="22"/>
          <w:szCs w:val="22"/>
        </w:rPr>
        <w:t> </w:t>
      </w:r>
      <w:r w:rsidR="003B691F">
        <w:rPr>
          <w:rFonts w:asciiTheme="minorHAnsi" w:hAnsiTheme="minorHAnsi" w:cstheme="minorHAnsi"/>
          <w:sz w:val="22"/>
          <w:szCs w:val="22"/>
        </w:rPr>
        <w:t>poprzedniego</w:t>
      </w:r>
      <w:r>
        <w:rPr>
          <w:rFonts w:asciiTheme="minorHAnsi" w:hAnsiTheme="minorHAnsi" w:cstheme="minorHAnsi"/>
          <w:sz w:val="22"/>
          <w:szCs w:val="22"/>
        </w:rPr>
        <w:t xml:space="preserve"> roku, jego udział wzrósł u 14 proc. ankietowanych, na tym samym p</w:t>
      </w:r>
      <w:r w:rsidR="003B691F">
        <w:rPr>
          <w:rFonts w:asciiTheme="minorHAnsi" w:hAnsiTheme="minorHAnsi" w:cstheme="minorHAnsi"/>
          <w:sz w:val="22"/>
          <w:szCs w:val="22"/>
        </w:rPr>
        <w:t>oziomie został u</w:t>
      </w:r>
      <w:r w:rsidR="007244E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64</w:t>
      </w:r>
      <w:r w:rsidR="00E37DF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proc., a spadł u zaledwie 4 proc.</w:t>
      </w:r>
    </w:p>
    <w:p w14:paraId="0F1DB6FB" w14:textId="685EAEBD" w:rsidR="00520B4B" w:rsidRPr="009E2B16" w:rsidRDefault="00520B4B" w:rsidP="00744C7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B16">
        <w:rPr>
          <w:rFonts w:asciiTheme="minorHAnsi" w:hAnsiTheme="minorHAnsi" w:cstheme="minorHAnsi"/>
          <w:b/>
          <w:sz w:val="22"/>
          <w:szCs w:val="22"/>
        </w:rPr>
        <w:t>Najwięcej wytłaczarek w parkach maszynowych</w:t>
      </w:r>
    </w:p>
    <w:p w14:paraId="0F37DABB" w14:textId="6108FE94" w:rsidR="00744C76" w:rsidRDefault="00520B4B" w:rsidP="00744C7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Jakie maszyny i urządzenia znajdziemy w parkach maszynowych polskich MŚP z branży</w:t>
      </w:r>
      <w:r w:rsidR="009A55E3">
        <w:rPr>
          <w:rFonts w:asciiTheme="minorHAnsi" w:hAnsiTheme="minorHAnsi" w:cstheme="minorHAnsi"/>
          <w:sz w:val="22"/>
          <w:szCs w:val="22"/>
        </w:rPr>
        <w:t xml:space="preserve"> przetwórstwa</w:t>
      </w:r>
      <w:r>
        <w:rPr>
          <w:rFonts w:asciiTheme="minorHAnsi" w:hAnsiTheme="minorHAnsi" w:cstheme="minorHAnsi"/>
          <w:sz w:val="22"/>
          <w:szCs w:val="22"/>
        </w:rPr>
        <w:t xml:space="preserve"> tworzyw sztucznych?</w:t>
      </w:r>
      <w:r w:rsidR="00B62170">
        <w:rPr>
          <w:rFonts w:asciiTheme="minorHAnsi" w:hAnsiTheme="minorHAnsi" w:cstheme="minorHAnsi"/>
          <w:sz w:val="22"/>
          <w:szCs w:val="22"/>
        </w:rPr>
        <w:t xml:space="preserve"> Jak wynika z badania Siemens Financial Services, n</w:t>
      </w:r>
      <w:r>
        <w:rPr>
          <w:rFonts w:asciiTheme="minorHAnsi" w:hAnsiTheme="minorHAnsi" w:cstheme="minorHAnsi"/>
          <w:sz w:val="22"/>
          <w:szCs w:val="22"/>
        </w:rPr>
        <w:t>ajczęściej są to wytłaczarki, które posiada prawie co druga (48 proc.) firma – średnio osiem tego typu urządzeń w każdym przedsiębiorstwie. Na drugim miejscu</w:t>
      </w:r>
      <w:r w:rsidR="00BC307C">
        <w:rPr>
          <w:rFonts w:asciiTheme="minorHAnsi" w:hAnsiTheme="minorHAnsi" w:cstheme="minorHAnsi"/>
          <w:sz w:val="22"/>
          <w:szCs w:val="22"/>
        </w:rPr>
        <w:t xml:space="preserve"> (46 proc.)</w:t>
      </w:r>
      <w:r>
        <w:rPr>
          <w:rFonts w:asciiTheme="minorHAnsi" w:hAnsiTheme="minorHAnsi" w:cstheme="minorHAnsi"/>
          <w:sz w:val="22"/>
          <w:szCs w:val="22"/>
        </w:rPr>
        <w:t xml:space="preserve"> są urządzenia peryferyjne, jak roboty, chillery czy młyny (średnio 7 sztuk). 40</w:t>
      </w:r>
      <w:r w:rsidR="007244E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proc. </w:t>
      </w:r>
      <w:r w:rsidR="00B62170">
        <w:rPr>
          <w:rFonts w:asciiTheme="minorHAnsi" w:hAnsiTheme="minorHAnsi" w:cstheme="minorHAnsi"/>
          <w:sz w:val="22"/>
          <w:szCs w:val="22"/>
        </w:rPr>
        <w:t xml:space="preserve">posiada w swoim parku wtryskarki, a 13 proc. rozdmuchiwarki (średnio po 7 urządzeń). W parkach maszynowych popularne są jeszcze zgrzewarki (średnio 5 sztuk), które posiada 13 proc. firm oraz prasy, walcarki – średnio </w:t>
      </w:r>
      <w:r w:rsidR="009E2B16">
        <w:rPr>
          <w:rFonts w:asciiTheme="minorHAnsi" w:hAnsiTheme="minorHAnsi" w:cstheme="minorHAnsi"/>
          <w:sz w:val="22"/>
          <w:szCs w:val="22"/>
        </w:rPr>
        <w:t>8 urządzeń w 7 </w:t>
      </w:r>
      <w:r w:rsidR="00B62170">
        <w:rPr>
          <w:rFonts w:asciiTheme="minorHAnsi" w:hAnsiTheme="minorHAnsi" w:cstheme="minorHAnsi"/>
          <w:sz w:val="22"/>
          <w:szCs w:val="22"/>
        </w:rPr>
        <w:t xml:space="preserve">proc. badanych przedsiębiorstw. </w:t>
      </w:r>
    </w:p>
    <w:p w14:paraId="0042463D" w14:textId="262FECB4" w:rsidR="005529DA" w:rsidRDefault="002935FC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Potrzeba większej</w:t>
      </w:r>
      <w:r w:rsidR="005529DA">
        <w:rPr>
          <w:rFonts w:asciiTheme="minorHAnsi" w:hAnsiTheme="minorHAnsi" w:cstheme="minorHAnsi"/>
          <w:b/>
          <w:sz w:val="22"/>
          <w:szCs w:val="22"/>
        </w:rPr>
        <w:t xml:space="preserve"> konkurencyjn</w:t>
      </w:r>
      <w:r>
        <w:rPr>
          <w:rFonts w:asciiTheme="minorHAnsi" w:hAnsiTheme="minorHAnsi" w:cstheme="minorHAnsi"/>
          <w:b/>
          <w:sz w:val="22"/>
          <w:szCs w:val="22"/>
        </w:rPr>
        <w:t>ości</w:t>
      </w:r>
    </w:p>
    <w:p w14:paraId="1E920770" w14:textId="709727E7" w:rsidR="004730DC" w:rsidRDefault="00E0494C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Mimo większych</w:t>
      </w:r>
      <w:r w:rsidR="004730DC">
        <w:rPr>
          <w:rFonts w:asciiTheme="minorHAnsi" w:hAnsiTheme="minorHAnsi" w:cstheme="minorHAnsi"/>
          <w:sz w:val="22"/>
          <w:szCs w:val="22"/>
        </w:rPr>
        <w:t xml:space="preserve"> inwestycji w automatyzację procesów produkcji oraz zwiększonych nakładów na park maszyn i urządzeń</w:t>
      </w:r>
      <w:r w:rsidR="003266BC">
        <w:rPr>
          <w:rFonts w:asciiTheme="minorHAnsi" w:hAnsiTheme="minorHAnsi" w:cstheme="minorHAnsi"/>
          <w:sz w:val="22"/>
          <w:szCs w:val="22"/>
        </w:rPr>
        <w:t>,</w:t>
      </w:r>
      <w:r w:rsidR="004730DC">
        <w:rPr>
          <w:rFonts w:asciiTheme="minorHAnsi" w:hAnsiTheme="minorHAnsi" w:cstheme="minorHAnsi"/>
          <w:sz w:val="22"/>
          <w:szCs w:val="22"/>
        </w:rPr>
        <w:t xml:space="preserve"> polskie firmy </w:t>
      </w:r>
      <w:r w:rsidR="006E2D73">
        <w:rPr>
          <w:rFonts w:asciiTheme="minorHAnsi" w:hAnsiTheme="minorHAnsi" w:cstheme="minorHAnsi"/>
          <w:sz w:val="22"/>
          <w:szCs w:val="22"/>
        </w:rPr>
        <w:t>z sektora</w:t>
      </w:r>
      <w:r w:rsidR="002C2B26">
        <w:rPr>
          <w:rFonts w:asciiTheme="minorHAnsi" w:hAnsiTheme="minorHAnsi" w:cstheme="minorHAnsi"/>
          <w:sz w:val="22"/>
          <w:szCs w:val="22"/>
        </w:rPr>
        <w:t xml:space="preserve"> przetwórstwa</w:t>
      </w:r>
      <w:r w:rsidR="006E2D73">
        <w:rPr>
          <w:rFonts w:asciiTheme="minorHAnsi" w:hAnsiTheme="minorHAnsi" w:cstheme="minorHAnsi"/>
          <w:sz w:val="22"/>
          <w:szCs w:val="22"/>
        </w:rPr>
        <w:t xml:space="preserve"> tworzy</w:t>
      </w:r>
      <w:r w:rsidR="0051147F">
        <w:rPr>
          <w:rFonts w:asciiTheme="minorHAnsi" w:hAnsiTheme="minorHAnsi" w:cstheme="minorHAnsi"/>
          <w:sz w:val="22"/>
          <w:szCs w:val="22"/>
        </w:rPr>
        <w:t>w</w:t>
      </w:r>
      <w:r w:rsidR="006E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sztucznych były</w:t>
      </w:r>
      <w:r w:rsidR="003266BC">
        <w:rPr>
          <w:rFonts w:asciiTheme="minorHAnsi" w:hAnsiTheme="minorHAnsi" w:cstheme="minorHAnsi"/>
          <w:sz w:val="22"/>
          <w:szCs w:val="22"/>
        </w:rPr>
        <w:t xml:space="preserve"> średnio</w:t>
      </w:r>
      <w:r w:rsidR="00C85B57">
        <w:rPr>
          <w:rFonts w:asciiTheme="minorHAnsi" w:hAnsiTheme="minorHAnsi" w:cstheme="minorHAnsi"/>
          <w:sz w:val="22"/>
          <w:szCs w:val="22"/>
        </w:rPr>
        <w:t xml:space="preserve"> przygotowane</w:t>
      </w:r>
      <w:r w:rsidR="006E2D73">
        <w:rPr>
          <w:rFonts w:asciiTheme="minorHAnsi" w:hAnsiTheme="minorHAnsi" w:cstheme="minorHAnsi"/>
          <w:sz w:val="22"/>
          <w:szCs w:val="22"/>
        </w:rPr>
        <w:t xml:space="preserve"> do</w:t>
      </w:r>
      <w:r w:rsidR="007244EE">
        <w:rPr>
          <w:rFonts w:asciiTheme="minorHAnsi" w:hAnsiTheme="minorHAnsi" w:cstheme="minorHAnsi"/>
          <w:sz w:val="22"/>
          <w:szCs w:val="22"/>
        </w:rPr>
        <w:t> </w:t>
      </w:r>
      <w:r w:rsidR="006E2D73">
        <w:rPr>
          <w:rFonts w:asciiTheme="minorHAnsi" w:hAnsiTheme="minorHAnsi" w:cstheme="minorHAnsi"/>
          <w:sz w:val="22"/>
          <w:szCs w:val="22"/>
        </w:rPr>
        <w:t>konkurowania na tle zagranicznych podmiotów. Jeszcze przed pandemią, za bardziej konkurencyjn</w:t>
      </w:r>
      <w:r w:rsidR="004D701E">
        <w:rPr>
          <w:rFonts w:asciiTheme="minorHAnsi" w:hAnsiTheme="minorHAnsi" w:cstheme="minorHAnsi"/>
          <w:sz w:val="22"/>
          <w:szCs w:val="22"/>
        </w:rPr>
        <w:t>e</w:t>
      </w:r>
      <w:r w:rsidR="006E2D73">
        <w:rPr>
          <w:rFonts w:asciiTheme="minorHAnsi" w:hAnsiTheme="minorHAnsi" w:cstheme="minorHAnsi"/>
          <w:sz w:val="22"/>
          <w:szCs w:val="22"/>
        </w:rPr>
        <w:t xml:space="preserve"> uważało się zaledwie 7 proc. firm – wynika z badania Siemens Financial Services. Na tym samym poziomie oceniało swoje przygotowanie 32 proc. ankietowanych. Co ważne, do gorszej konkurencyjności przyznało się</w:t>
      </w:r>
      <w:r w:rsidR="007244EE">
        <w:rPr>
          <w:rFonts w:asciiTheme="minorHAnsi" w:hAnsiTheme="minorHAnsi" w:cstheme="minorHAnsi"/>
          <w:sz w:val="22"/>
          <w:szCs w:val="22"/>
        </w:rPr>
        <w:t> </w:t>
      </w:r>
      <w:r w:rsidR="006E2D73">
        <w:rPr>
          <w:rFonts w:asciiTheme="minorHAnsi" w:hAnsiTheme="minorHAnsi" w:cstheme="minorHAnsi"/>
          <w:sz w:val="22"/>
          <w:szCs w:val="22"/>
        </w:rPr>
        <w:t xml:space="preserve">aż 31 proc. </w:t>
      </w:r>
    </w:p>
    <w:p w14:paraId="41212659" w14:textId="250D9734" w:rsidR="00C85B57" w:rsidRPr="00101378" w:rsidRDefault="00C85B57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Sektor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A55E3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przetwórstwa 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>tworzy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w sztucznych 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powinien</w:t>
      </w:r>
      <w:r w:rsidR="009A55E3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dążyć do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większe</w:t>
      </w:r>
      <w:r w:rsidR="008E5464" w:rsidRPr="00F911B1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konkurencyjności. 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>Jak wynika z</w:t>
      </w:r>
      <w:r w:rsidR="008607DB" w:rsidRPr="00F911B1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naszego badania gorzej </w:t>
      </w:r>
      <w:r w:rsidR="008E5464" w:rsidRPr="00F911B1">
        <w:rPr>
          <w:rFonts w:asciiTheme="minorHAnsi" w:hAnsiTheme="minorHAnsi" w:cstheme="minorHAnsi"/>
          <w:i/>
          <w:iCs/>
          <w:sz w:val="22"/>
          <w:szCs w:val="22"/>
        </w:rPr>
        <w:t>pod tym kątem wypadł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tylko 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branża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food and bever</w:t>
      </w:r>
      <w:r w:rsidR="00E510CC" w:rsidRPr="00F911B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>ge, a znacznie lepiej poligraficz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i metalow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E0E6D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8E5464" w:rsidRPr="00F911B1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>andemia</w:t>
      </w:r>
      <w:r w:rsidR="003266BC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koronawirusa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i związana z nią</w:t>
      </w:r>
      <w:r w:rsidR="003266BC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266BC" w:rsidRPr="00F911B1">
        <w:rPr>
          <w:rFonts w:asciiTheme="minorHAnsi" w:hAnsiTheme="minorHAnsi" w:cstheme="minorHAnsi"/>
          <w:i/>
          <w:iCs/>
          <w:sz w:val="22"/>
          <w:szCs w:val="22"/>
        </w:rPr>
        <w:t>nowa normalność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wymagają</w:t>
      </w:r>
      <w:r w:rsidR="00574625">
        <w:rPr>
          <w:rFonts w:asciiTheme="minorHAnsi" w:hAnsiTheme="minorHAnsi" w:cstheme="minorHAnsi"/>
          <w:i/>
          <w:iCs/>
          <w:sz w:val="22"/>
          <w:szCs w:val="22"/>
        </w:rPr>
        <w:t xml:space="preserve"> także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od</w:t>
      </w:r>
      <w:r w:rsidR="007244E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2C2B26" w:rsidRPr="00F911B1">
        <w:rPr>
          <w:rFonts w:asciiTheme="minorHAnsi" w:hAnsiTheme="minorHAnsi" w:cstheme="minorHAnsi"/>
          <w:i/>
          <w:iCs/>
          <w:sz w:val="22"/>
          <w:szCs w:val="22"/>
        </w:rPr>
        <w:t>sektora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większ</w:t>
      </w:r>
      <w:r w:rsidR="005D5273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elastycz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>ność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>sprawne</w:t>
      </w:r>
      <w:r w:rsidR="005D5273">
        <w:rPr>
          <w:rFonts w:asciiTheme="minorHAnsi" w:hAnsiTheme="minorHAnsi" w:cstheme="minorHAnsi"/>
          <w:i/>
          <w:iCs/>
          <w:sz w:val="22"/>
          <w:szCs w:val="22"/>
        </w:rPr>
        <w:t>go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dostosowywani</w:t>
      </w:r>
      <w:r w:rsidR="005D5273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się do </w:t>
      </w:r>
      <w:r w:rsidR="008E5464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nagłych 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>zmian rynkowych</w:t>
      </w:r>
      <w:r w:rsidR="003C04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C3EC2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sz w:val="22"/>
          <w:szCs w:val="22"/>
        </w:rPr>
        <w:t>– mówi</w:t>
      </w:r>
      <w:r w:rsidR="00B43977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B43977"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B439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bCs/>
          <w:sz w:val="22"/>
          <w:szCs w:val="22"/>
        </w:rPr>
        <w:t>z Siemens Financial Services.</w:t>
      </w:r>
      <w:r w:rsidR="00B43977" w:rsidRPr="00B439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6C3EC2" w:rsidRPr="00F911B1">
        <w:rPr>
          <w:rFonts w:asciiTheme="minorHAnsi" w:hAnsiTheme="minorHAnsi" w:cstheme="minorHAnsi"/>
          <w:i/>
          <w:iCs/>
          <w:sz w:val="22"/>
          <w:szCs w:val="22"/>
        </w:rPr>
        <w:t>Przed branżą</w:t>
      </w:r>
      <w:r w:rsidR="00F76D22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736E" w:rsidRPr="00F911B1">
        <w:rPr>
          <w:rFonts w:asciiTheme="minorHAnsi" w:hAnsiTheme="minorHAnsi" w:cstheme="minorHAnsi"/>
          <w:i/>
          <w:iCs/>
          <w:sz w:val="22"/>
          <w:szCs w:val="22"/>
        </w:rPr>
        <w:t>są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76D22" w:rsidRPr="00F911B1">
        <w:rPr>
          <w:rFonts w:asciiTheme="minorHAnsi" w:hAnsiTheme="minorHAnsi" w:cstheme="minorHAnsi"/>
          <w:i/>
          <w:iCs/>
          <w:sz w:val="22"/>
          <w:szCs w:val="22"/>
        </w:rPr>
        <w:t>również wyzwani</w:t>
      </w:r>
      <w:r w:rsidR="006C0A4A" w:rsidRPr="00F911B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środowiskowe</w:t>
      </w:r>
      <w:r w:rsidR="00F76D22" w:rsidRPr="00F911B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E2B16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związane z</w:t>
      </w:r>
      <w:r w:rsidR="00607EBA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lepszym wykorzystaniem surowców</w:t>
      </w:r>
      <w:r w:rsidR="008E5464" w:rsidRPr="00F911B1">
        <w:rPr>
          <w:rFonts w:asciiTheme="minorHAnsi" w:hAnsiTheme="minorHAnsi" w:cstheme="minorHAnsi"/>
          <w:i/>
          <w:iCs/>
          <w:sz w:val="22"/>
          <w:szCs w:val="22"/>
        </w:rPr>
        <w:t xml:space="preserve"> i większym recyklingiem</w:t>
      </w:r>
      <w:r w:rsidR="00F76D22" w:rsidRPr="00F911B1">
        <w:rPr>
          <w:rFonts w:asciiTheme="minorHAnsi" w:hAnsiTheme="minorHAnsi" w:cstheme="minorHAnsi"/>
          <w:i/>
          <w:iCs/>
          <w:sz w:val="22"/>
          <w:szCs w:val="22"/>
        </w:rPr>
        <w:t>. To wszystko z kolei wymaga znacznych nakładów kapitałowych oraz dostępu do elastycznego finansowania</w:t>
      </w:r>
      <w:r w:rsidR="00B439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sz w:val="22"/>
          <w:szCs w:val="22"/>
        </w:rPr>
        <w:t>– dodaje.</w:t>
      </w:r>
    </w:p>
    <w:p w14:paraId="08D29121" w14:textId="77777777" w:rsidR="005529DA" w:rsidRDefault="005529DA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63CEED8" wp14:editId="19C4A2D5">
            <wp:extent cx="6115050" cy="20669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165155" w14:textId="77777777" w:rsidR="005529DA" w:rsidRPr="00D37965" w:rsidRDefault="005529DA" w:rsidP="005529DA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>u Keralla Research</w:t>
      </w:r>
      <w:r w:rsidRPr="00D37965">
        <w:rPr>
          <w:sz w:val="16"/>
          <w:szCs w:val="16"/>
        </w:rPr>
        <w:t xml:space="preserve"> na zlecenie Siemens Financial Services, marzec 2020.</w:t>
      </w:r>
    </w:p>
    <w:p w14:paraId="0BD5DFF3" w14:textId="32452EF0" w:rsidR="005529DA" w:rsidRDefault="005529DA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Rodzime przedsiębiorstwa</w:t>
      </w:r>
      <w:r w:rsidR="00F76D22">
        <w:rPr>
          <w:rFonts w:asciiTheme="minorHAnsi" w:hAnsiTheme="minorHAnsi" w:cstheme="minorHAnsi"/>
          <w:sz w:val="22"/>
          <w:szCs w:val="22"/>
        </w:rPr>
        <w:t>, które będą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6D22">
        <w:rPr>
          <w:rFonts w:asciiTheme="minorHAnsi" w:hAnsiTheme="minorHAnsi" w:cstheme="minorHAnsi"/>
          <w:sz w:val="22"/>
          <w:szCs w:val="22"/>
        </w:rPr>
        <w:t>dobrze przygotowane</w:t>
      </w:r>
      <w:r>
        <w:rPr>
          <w:rFonts w:asciiTheme="minorHAnsi" w:hAnsiTheme="minorHAnsi" w:cstheme="minorHAnsi"/>
          <w:sz w:val="22"/>
          <w:szCs w:val="22"/>
        </w:rPr>
        <w:t xml:space="preserve"> do konkurowania z zagranicznymi podmiotami </w:t>
      </w:r>
      <w:r w:rsidR="00F76D22">
        <w:rPr>
          <w:rFonts w:asciiTheme="minorHAnsi" w:hAnsiTheme="minorHAnsi" w:cstheme="minorHAnsi"/>
          <w:sz w:val="22"/>
          <w:szCs w:val="22"/>
        </w:rPr>
        <w:t>mogą wykorzystać</w:t>
      </w:r>
      <w:r>
        <w:rPr>
          <w:rFonts w:asciiTheme="minorHAnsi" w:hAnsiTheme="minorHAnsi" w:cstheme="minorHAnsi"/>
          <w:sz w:val="22"/>
          <w:szCs w:val="22"/>
        </w:rPr>
        <w:t xml:space="preserve"> trend skracania łańcuchów dostaw. Koronawirus spowodował</w:t>
      </w:r>
      <w:r w:rsidR="00F76D22">
        <w:rPr>
          <w:rFonts w:asciiTheme="minorHAnsi" w:hAnsiTheme="minorHAnsi" w:cstheme="minorHAnsi"/>
          <w:sz w:val="22"/>
          <w:szCs w:val="22"/>
        </w:rPr>
        <w:t xml:space="preserve"> bowiem</w:t>
      </w:r>
      <w:r>
        <w:rPr>
          <w:rFonts w:asciiTheme="minorHAnsi" w:hAnsiTheme="minorHAnsi" w:cstheme="minorHAnsi"/>
          <w:sz w:val="22"/>
          <w:szCs w:val="22"/>
        </w:rPr>
        <w:t>, że rośnie znaczenie tzw. nearshoringu (lokowania produkcji w krajach blisko położonych). Wiele europejskich firm</w:t>
      </w:r>
      <w:r w:rsidR="00F76D22">
        <w:rPr>
          <w:rFonts w:asciiTheme="minorHAnsi" w:hAnsiTheme="minorHAnsi" w:cstheme="minorHAnsi"/>
          <w:sz w:val="22"/>
          <w:szCs w:val="22"/>
        </w:rPr>
        <w:t xml:space="preserve">, których łańcuchy dostaw zostały </w:t>
      </w:r>
      <w:r w:rsidR="0097169B">
        <w:rPr>
          <w:rFonts w:asciiTheme="minorHAnsi" w:hAnsiTheme="minorHAnsi" w:cstheme="minorHAnsi"/>
          <w:sz w:val="22"/>
          <w:szCs w:val="22"/>
        </w:rPr>
        <w:t xml:space="preserve">w czasie pandemii </w:t>
      </w:r>
      <w:r w:rsidR="00F76D22">
        <w:rPr>
          <w:rFonts w:asciiTheme="minorHAnsi" w:hAnsiTheme="minorHAnsi" w:cstheme="minorHAnsi"/>
          <w:sz w:val="22"/>
          <w:szCs w:val="22"/>
        </w:rPr>
        <w:t xml:space="preserve">zachwiane lub przerwane, będą dążyć prawdopodobnie do ich większej dywersyfikacji. W konsekwencji </w:t>
      </w:r>
      <w:r>
        <w:rPr>
          <w:rFonts w:asciiTheme="minorHAnsi" w:hAnsiTheme="minorHAnsi" w:cstheme="minorHAnsi"/>
          <w:sz w:val="22"/>
          <w:szCs w:val="22"/>
        </w:rPr>
        <w:t>zamiast zlecać produkcję</w:t>
      </w:r>
      <w:r w:rsidR="00F76D22">
        <w:rPr>
          <w:rFonts w:asciiTheme="minorHAnsi" w:hAnsiTheme="minorHAnsi" w:cstheme="minorHAnsi"/>
          <w:sz w:val="22"/>
          <w:szCs w:val="22"/>
        </w:rPr>
        <w:t xml:space="preserve"> np.</w:t>
      </w:r>
      <w:r>
        <w:rPr>
          <w:rFonts w:asciiTheme="minorHAnsi" w:hAnsiTheme="minorHAnsi" w:cstheme="minorHAnsi"/>
          <w:sz w:val="22"/>
          <w:szCs w:val="22"/>
        </w:rPr>
        <w:t xml:space="preserve"> w krajach azjatyckich, gdzie koszty produkcji są niższe, ale powstaje wysokie ryzyko przerwania dostaw, </w:t>
      </w:r>
      <w:r w:rsidR="00F76D22">
        <w:rPr>
          <w:rFonts w:asciiTheme="minorHAnsi" w:hAnsiTheme="minorHAnsi" w:cstheme="minorHAnsi"/>
          <w:sz w:val="22"/>
          <w:szCs w:val="22"/>
        </w:rPr>
        <w:t>będą szukać</w:t>
      </w:r>
      <w:r w:rsidR="007C457D">
        <w:rPr>
          <w:rFonts w:asciiTheme="minorHAnsi" w:hAnsiTheme="minorHAnsi" w:cstheme="minorHAnsi"/>
          <w:sz w:val="22"/>
          <w:szCs w:val="22"/>
        </w:rPr>
        <w:t xml:space="preserve"> nowych</w:t>
      </w:r>
      <w:r>
        <w:rPr>
          <w:rFonts w:asciiTheme="minorHAnsi" w:hAnsiTheme="minorHAnsi" w:cstheme="minorHAnsi"/>
          <w:sz w:val="22"/>
          <w:szCs w:val="22"/>
        </w:rPr>
        <w:t xml:space="preserve"> dostawców</w:t>
      </w:r>
      <w:r w:rsidR="007C457D">
        <w:rPr>
          <w:rFonts w:asciiTheme="minorHAnsi" w:hAnsiTheme="minorHAnsi" w:cstheme="minorHAnsi"/>
          <w:sz w:val="22"/>
          <w:szCs w:val="22"/>
        </w:rPr>
        <w:t xml:space="preserve"> zlokalizowanych</w:t>
      </w:r>
      <w:r>
        <w:rPr>
          <w:rFonts w:asciiTheme="minorHAnsi" w:hAnsiTheme="minorHAnsi" w:cstheme="minorHAnsi"/>
          <w:sz w:val="22"/>
          <w:szCs w:val="22"/>
        </w:rPr>
        <w:t xml:space="preserve"> bliżej.</w:t>
      </w:r>
    </w:p>
    <w:p w14:paraId="51C721FF" w14:textId="77777777" w:rsidR="00652A68" w:rsidRDefault="00652A68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76EAD8" w14:textId="77777777" w:rsidR="00652A68" w:rsidRDefault="00652A68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1D19C8E" w14:textId="5F701232" w:rsidR="00013BF9" w:rsidRDefault="00013BF9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Maszyny i urządzenia finansowane </w:t>
      </w:r>
      <w:r w:rsidR="001177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zyskiem 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leasingiem</w:t>
      </w:r>
    </w:p>
    <w:p w14:paraId="45CCF0F7" w14:textId="1BA78FC0" w:rsidR="0011770C" w:rsidRPr="009E2B16" w:rsidRDefault="0011770C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Potrzebne inwestycje wymagają niezbędnego kapitału. W przypad</w:t>
      </w:r>
      <w:r w:rsidR="009E2B16">
        <w:rPr>
          <w:rFonts w:asciiTheme="minorHAnsi" w:hAnsiTheme="minorHAnsi" w:cstheme="minorHAnsi"/>
          <w:bCs/>
          <w:iCs/>
          <w:sz w:val="22"/>
          <w:szCs w:val="22"/>
        </w:rPr>
        <w:t>ku finansowania parków maszyn i </w:t>
      </w:r>
      <w:r>
        <w:rPr>
          <w:rFonts w:asciiTheme="minorHAnsi" w:hAnsiTheme="minorHAnsi" w:cstheme="minorHAnsi"/>
          <w:bCs/>
          <w:iCs/>
          <w:sz w:val="22"/>
          <w:szCs w:val="22"/>
        </w:rPr>
        <w:t>urządzeń, przedsiębiorcy z branży tworzyw szt</w:t>
      </w:r>
      <w:r w:rsidR="006C3EC2">
        <w:rPr>
          <w:rFonts w:asciiTheme="minorHAnsi" w:hAnsiTheme="minorHAnsi" w:cstheme="minorHAnsi"/>
          <w:bCs/>
          <w:iCs/>
          <w:sz w:val="22"/>
          <w:szCs w:val="22"/>
        </w:rPr>
        <w:t>ucznych najczęściej wykorzystywali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środki własne – </w:t>
      </w:r>
      <w:r w:rsidR="006028D2">
        <w:rPr>
          <w:rFonts w:asciiTheme="minorHAnsi" w:hAnsiTheme="minorHAnsi" w:cstheme="minorHAnsi"/>
          <w:bCs/>
          <w:iCs/>
          <w:sz w:val="22"/>
          <w:szCs w:val="22"/>
        </w:rPr>
        <w:t>69,1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51DA1">
        <w:rPr>
          <w:rFonts w:asciiTheme="minorHAnsi" w:hAnsiTheme="minorHAnsi" w:cstheme="minorHAnsi"/>
          <w:bCs/>
          <w:iCs/>
          <w:sz w:val="22"/>
          <w:szCs w:val="22"/>
        </w:rPr>
        <w:t>proc. ankietowanych. Drugim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najpopularniejszym </w:t>
      </w:r>
      <w:r w:rsidR="00151DA1">
        <w:rPr>
          <w:rFonts w:asciiTheme="minorHAnsi" w:hAnsiTheme="minorHAnsi" w:cstheme="minorHAnsi"/>
          <w:bCs/>
          <w:iCs/>
          <w:sz w:val="22"/>
          <w:szCs w:val="22"/>
        </w:rPr>
        <w:t>sposobe</w:t>
      </w:r>
      <w:r w:rsidR="006C3EC2">
        <w:rPr>
          <w:rFonts w:asciiTheme="minorHAnsi" w:hAnsiTheme="minorHAnsi" w:cstheme="minorHAnsi"/>
          <w:bCs/>
          <w:iCs/>
          <w:sz w:val="22"/>
          <w:szCs w:val="22"/>
        </w:rPr>
        <w:t>m finansowania</w:t>
      </w:r>
      <w:r w:rsidR="00151DA1">
        <w:rPr>
          <w:rFonts w:asciiTheme="minorHAnsi" w:hAnsiTheme="minorHAnsi" w:cstheme="minorHAnsi"/>
          <w:bCs/>
          <w:iCs/>
          <w:sz w:val="22"/>
          <w:szCs w:val="22"/>
        </w:rPr>
        <w:t xml:space="preserve"> był leasing. Jak wynika z badania Siemens Financial Services wykorzystywało go 38,</w:t>
      </w:r>
      <w:r w:rsidR="006028D2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151DA1">
        <w:rPr>
          <w:rFonts w:asciiTheme="minorHAnsi" w:hAnsiTheme="minorHAnsi" w:cstheme="minorHAnsi"/>
          <w:bCs/>
          <w:iCs/>
          <w:sz w:val="22"/>
          <w:szCs w:val="22"/>
        </w:rPr>
        <w:t xml:space="preserve"> proc. ankietowanych z tej branży, z czego 16,5 proc. finansowało tak cały park maszyn i urządzeń.</w:t>
      </w:r>
      <w:r w:rsidR="006E0E57">
        <w:rPr>
          <w:rFonts w:asciiTheme="minorHAnsi" w:hAnsiTheme="minorHAnsi" w:cstheme="minorHAnsi"/>
          <w:bCs/>
          <w:iCs/>
          <w:sz w:val="22"/>
          <w:szCs w:val="22"/>
        </w:rPr>
        <w:t xml:space="preserve"> Z dotacji korzystało natomiast 2</w:t>
      </w:r>
      <w:r w:rsidR="006028D2">
        <w:rPr>
          <w:rFonts w:asciiTheme="minorHAnsi" w:hAnsiTheme="minorHAnsi" w:cstheme="minorHAnsi"/>
          <w:bCs/>
          <w:iCs/>
          <w:sz w:val="22"/>
          <w:szCs w:val="22"/>
        </w:rPr>
        <w:t>0</w:t>
      </w:r>
      <w:r w:rsidR="006E0E57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6C3EC2">
        <w:rPr>
          <w:rFonts w:asciiTheme="minorHAnsi" w:hAnsiTheme="minorHAnsi" w:cstheme="minorHAnsi"/>
          <w:bCs/>
          <w:iCs/>
          <w:sz w:val="22"/>
          <w:szCs w:val="22"/>
        </w:rPr>
        <w:t>6 proc. ankietowanych</w:t>
      </w:r>
      <w:r w:rsidR="006E0E57">
        <w:rPr>
          <w:rFonts w:asciiTheme="minorHAnsi" w:hAnsiTheme="minorHAnsi" w:cstheme="minorHAnsi"/>
          <w:bCs/>
          <w:iCs/>
          <w:sz w:val="22"/>
          <w:szCs w:val="22"/>
        </w:rPr>
        <w:t xml:space="preserve"> firm, a z kredytu </w:t>
      </w:r>
      <w:r w:rsidR="006028D2">
        <w:rPr>
          <w:rFonts w:asciiTheme="minorHAnsi" w:hAnsiTheme="minorHAnsi" w:cstheme="minorHAnsi"/>
          <w:bCs/>
          <w:iCs/>
          <w:sz w:val="22"/>
          <w:szCs w:val="22"/>
        </w:rPr>
        <w:t>22,7</w:t>
      </w:r>
      <w:r w:rsidR="006E0E57">
        <w:rPr>
          <w:rFonts w:asciiTheme="minorHAnsi" w:hAnsiTheme="minorHAnsi" w:cstheme="minorHAnsi"/>
          <w:bCs/>
          <w:iCs/>
          <w:sz w:val="22"/>
          <w:szCs w:val="22"/>
        </w:rPr>
        <w:t xml:space="preserve"> proc.</w:t>
      </w:r>
    </w:p>
    <w:p w14:paraId="6C794C9A" w14:textId="77777777" w:rsidR="0011770C" w:rsidRPr="00C87A3C" w:rsidRDefault="0011770C" w:rsidP="0011770C">
      <w:pPr>
        <w:pStyle w:val="Legenda"/>
        <w:jc w:val="both"/>
        <w:rPr>
          <w:sz w:val="16"/>
          <w:szCs w:val="16"/>
        </w:rPr>
      </w:pPr>
      <w:r w:rsidRPr="00D85287">
        <w:rPr>
          <w:rFonts w:ascii="Century Gothic" w:hAnsi="Century Gothic"/>
          <w:noProof/>
          <w:lang w:eastAsia="pl-PL"/>
        </w:rPr>
        <w:drawing>
          <wp:inline distT="0" distB="0" distL="0" distR="0" wp14:anchorId="1EED97A4" wp14:editId="6F440A50">
            <wp:extent cx="6057900" cy="2057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B0EAD">
        <w:rPr>
          <w:sz w:val="16"/>
          <w:szCs w:val="16"/>
        </w:rPr>
        <w:t>*Wykorzystywane do sfinansowania całości</w:t>
      </w:r>
      <w:r w:rsidRPr="00C87A3C">
        <w:rPr>
          <w:sz w:val="16"/>
          <w:szCs w:val="16"/>
        </w:rPr>
        <w:t xml:space="preserve"> parku MiU</w:t>
      </w:r>
      <w:r w:rsidRPr="009B0EAD">
        <w:rPr>
          <w:sz w:val="16"/>
          <w:szCs w:val="16"/>
        </w:rPr>
        <w:t xml:space="preserve"> lub jego części</w:t>
      </w:r>
    </w:p>
    <w:p w14:paraId="047C981A" w14:textId="77777777" w:rsidR="0011770C" w:rsidRPr="00634632" w:rsidRDefault="0011770C" w:rsidP="0011770C">
      <w:pPr>
        <w:rPr>
          <w:i/>
          <w:iCs/>
          <w:color w:val="44546A" w:themeColor="text2"/>
          <w:sz w:val="16"/>
          <w:szCs w:val="16"/>
        </w:rPr>
      </w:pPr>
      <w:r w:rsidRPr="00C87A3C">
        <w:rPr>
          <w:i/>
          <w:iCs/>
          <w:color w:val="44546A" w:themeColor="text2"/>
          <w:sz w:val="16"/>
          <w:szCs w:val="16"/>
        </w:rPr>
        <w:t xml:space="preserve">Źródło: Badanie </w:t>
      </w:r>
      <w:r w:rsidRPr="00D37965">
        <w:rPr>
          <w:i/>
          <w:iCs/>
          <w:color w:val="44546A" w:themeColor="text2"/>
          <w:sz w:val="16"/>
          <w:szCs w:val="16"/>
        </w:rPr>
        <w:t>Instytutu Keralla Research na zlecenie Siemens Financial Services</w:t>
      </w:r>
      <w:r w:rsidRPr="00634632">
        <w:rPr>
          <w:i/>
          <w:iCs/>
          <w:color w:val="44546A" w:themeColor="text2"/>
          <w:sz w:val="16"/>
          <w:szCs w:val="16"/>
        </w:rPr>
        <w:t>, marzec 2020.</w:t>
      </w:r>
    </w:p>
    <w:p w14:paraId="6244FFB5" w14:textId="431BDCAC" w:rsidR="0011770C" w:rsidRDefault="0011770C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9E12CB" w14:textId="4A130705" w:rsidR="009602F5" w:rsidRDefault="006E0E57" w:rsidP="009E2B16">
      <w:pPr>
        <w:tabs>
          <w:tab w:val="left" w:pos="2436"/>
        </w:tabs>
        <w:spacing w:after="120"/>
        <w:jc w:val="both"/>
      </w:pPr>
      <w:r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- Przed branżą tworzyw sztucznych </w:t>
      </w:r>
      <w:r w:rsidR="008607DB" w:rsidRPr="00F911B1">
        <w:rPr>
          <w:rFonts w:asciiTheme="minorHAnsi" w:hAnsiTheme="minorHAnsi" w:cstheme="minorHAnsi"/>
          <w:bCs/>
          <w:i/>
          <w:sz w:val="22"/>
          <w:szCs w:val="22"/>
        </w:rPr>
        <w:t>stoi wiele</w:t>
      </w:r>
      <w:r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wyzwań, podobnie jak w innych sektorach przemysłowych. </w:t>
      </w:r>
      <w:r w:rsidR="006C3EC2" w:rsidRPr="00F911B1">
        <w:rPr>
          <w:rFonts w:asciiTheme="minorHAnsi" w:hAnsiTheme="minorHAnsi" w:cstheme="minorHAnsi"/>
          <w:bCs/>
          <w:i/>
          <w:sz w:val="22"/>
          <w:szCs w:val="22"/>
        </w:rPr>
        <w:t>Kryzys</w:t>
      </w:r>
      <w:r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wywołany COVID-19 i dynamiczna, ciągle niepewna sytuacja wymagają </w:t>
      </w:r>
      <w:r w:rsidR="00F34D49">
        <w:rPr>
          <w:rFonts w:asciiTheme="minorHAnsi" w:hAnsiTheme="minorHAnsi" w:cstheme="minorHAnsi"/>
          <w:bCs/>
          <w:i/>
          <w:sz w:val="22"/>
          <w:szCs w:val="22"/>
        </w:rPr>
        <w:t>niezbędnych</w:t>
      </w:r>
      <w:r w:rsidR="006C3EC2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inwestycji oraz</w:t>
      </w:r>
      <w:r w:rsidR="00F34D49">
        <w:rPr>
          <w:rFonts w:asciiTheme="minorHAnsi" w:hAnsiTheme="minorHAnsi" w:cstheme="minorHAnsi"/>
          <w:bCs/>
          <w:i/>
          <w:sz w:val="22"/>
          <w:szCs w:val="22"/>
        </w:rPr>
        <w:t xml:space="preserve"> odpowiednich</w:t>
      </w:r>
      <w:r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przygotowań. Do tej pory firmy </w:t>
      </w:r>
      <w:r w:rsidR="006B32DE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najczęściej </w:t>
      </w:r>
      <w:r w:rsidRPr="00F911B1">
        <w:rPr>
          <w:rFonts w:asciiTheme="minorHAnsi" w:hAnsiTheme="minorHAnsi" w:cstheme="minorHAnsi"/>
          <w:bCs/>
          <w:i/>
          <w:sz w:val="22"/>
          <w:szCs w:val="22"/>
        </w:rPr>
        <w:t>wykorzystywały do tego środki własne, jednak w</w:t>
      </w:r>
      <w:r w:rsidR="006A059E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F911B1">
        <w:rPr>
          <w:rFonts w:asciiTheme="minorHAnsi" w:hAnsiTheme="minorHAnsi" w:cstheme="minorHAnsi"/>
          <w:bCs/>
          <w:i/>
          <w:sz w:val="22"/>
          <w:szCs w:val="22"/>
        </w:rPr>
        <w:t>wielu przypadkach rezerwy zostały zużyte</w:t>
      </w:r>
      <w:r w:rsidR="00446F56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do zachowania płynności w trackie lockdownu, a nowe zyski często </w:t>
      </w:r>
      <w:r w:rsidR="006B32DE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są </w:t>
      </w:r>
      <w:r w:rsidR="00446F56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odkładane na wypadek drugiej fali zachorowań. </w:t>
      </w:r>
      <w:r w:rsidR="00212E62" w:rsidRPr="00F911B1">
        <w:rPr>
          <w:rFonts w:asciiTheme="minorHAnsi" w:hAnsiTheme="minorHAnsi" w:cstheme="minorHAnsi"/>
          <w:bCs/>
          <w:i/>
          <w:sz w:val="22"/>
          <w:szCs w:val="22"/>
        </w:rPr>
        <w:t>W tej sytuacji</w:t>
      </w:r>
      <w:r w:rsidR="00446F56" w:rsidRPr="00F911B1">
        <w:rPr>
          <w:rFonts w:asciiTheme="minorHAnsi" w:hAnsiTheme="minorHAnsi" w:cstheme="minorHAnsi"/>
          <w:bCs/>
          <w:i/>
          <w:sz w:val="22"/>
          <w:szCs w:val="22"/>
        </w:rPr>
        <w:t>, aby zrealizować niezbędne inwestycje</w:t>
      </w:r>
      <w:r w:rsidR="00212E62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przedsiębiorcy</w:t>
      </w:r>
      <w:r w:rsidR="00446F56" w:rsidRPr="00F911B1">
        <w:rPr>
          <w:rFonts w:asciiTheme="minorHAnsi" w:hAnsiTheme="minorHAnsi" w:cstheme="minorHAnsi"/>
          <w:bCs/>
          <w:i/>
          <w:sz w:val="22"/>
          <w:szCs w:val="22"/>
        </w:rPr>
        <w:t xml:space="preserve"> potrzebują finansowania zewnętrznego. Leasing, dzięki swojej elastyczności będzie nadal chętnie wykorzystywany przez polskie MŚP</w:t>
      </w:r>
      <w:r w:rsidR="00446F56">
        <w:rPr>
          <w:rFonts w:asciiTheme="minorHAnsi" w:hAnsiTheme="minorHAnsi" w:cstheme="minorHAnsi"/>
          <w:bCs/>
          <w:iCs/>
          <w:sz w:val="22"/>
          <w:szCs w:val="22"/>
        </w:rPr>
        <w:t xml:space="preserve"> – podsumowuje </w:t>
      </w:r>
      <w:r w:rsidR="00446F56"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724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B16">
        <w:rPr>
          <w:rFonts w:asciiTheme="minorHAnsi" w:hAnsiTheme="minorHAnsi" w:cstheme="minorHAnsi"/>
          <w:bCs/>
          <w:sz w:val="22"/>
          <w:szCs w:val="22"/>
        </w:rPr>
        <w:t>z </w:t>
      </w:r>
      <w:r w:rsidR="00446F56">
        <w:rPr>
          <w:rFonts w:asciiTheme="minorHAnsi" w:hAnsiTheme="minorHAnsi" w:cstheme="minorHAnsi"/>
          <w:bCs/>
          <w:sz w:val="22"/>
          <w:szCs w:val="22"/>
        </w:rPr>
        <w:t>Siemens Financial Services.</w:t>
      </w:r>
    </w:p>
    <w:p w14:paraId="569D3864" w14:textId="77777777" w:rsidR="00871394" w:rsidRDefault="00871394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19687509" w14:textId="20BB9058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028A98B" w14:textId="030F1769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Badanie zostało zrealizowane przez Instytut Keralla Research w marcu 2020 r. na podstawie wywiadów z 400 przedstawicielami małych i średnich przedsiębiorstw z branży poligraficznej, metalowej, tworzyw sztucznych i food and beverage z całej Polski</w:t>
      </w:r>
      <w:r>
        <w:rPr>
          <w:rFonts w:asciiTheme="minorHAnsi" w:hAnsiTheme="minorHAnsi" w:cstheme="minorHAnsi"/>
          <w:sz w:val="18"/>
          <w:szCs w:val="18"/>
        </w:rPr>
        <w:t xml:space="preserve"> oraz posiadających własny park maszyn i urządzań (MiU)</w:t>
      </w:r>
      <w:r w:rsidRPr="004E44F1">
        <w:rPr>
          <w:rFonts w:asciiTheme="minorHAnsi" w:hAnsiTheme="minorHAnsi" w:cstheme="minorHAnsi"/>
          <w:sz w:val="18"/>
          <w:szCs w:val="18"/>
        </w:rPr>
        <w:t>. Wykorzystano metodę telefonicznych standaryzowanych wywiadów kwest</w:t>
      </w:r>
      <w:r>
        <w:rPr>
          <w:rFonts w:asciiTheme="minorHAnsi" w:hAnsiTheme="minorHAnsi" w:cstheme="minorHAnsi"/>
          <w:sz w:val="18"/>
          <w:szCs w:val="18"/>
        </w:rPr>
        <w:t>ionariuszowych</w:t>
      </w:r>
      <w:r w:rsidRPr="004E44F1">
        <w:rPr>
          <w:rFonts w:asciiTheme="minorHAnsi" w:hAnsiTheme="minorHAnsi" w:cstheme="minorHAnsi"/>
          <w:sz w:val="18"/>
          <w:szCs w:val="18"/>
        </w:rPr>
        <w:t xml:space="preserve"> 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33B528FB" w14:textId="5ABDB150" w:rsidR="00131B54" w:rsidRPr="005A35CB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 Projektów</w:t>
      </w:r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47F2022B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radoslaw.pupiec@clearcom.pl</w:t>
      </w:r>
    </w:p>
    <w:p w14:paraId="2A4A156C" w14:textId="1A6861A1" w:rsidR="00131B54" w:rsidRPr="006805FC" w:rsidRDefault="003E2529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</w:t>
      </w:r>
      <w:r w:rsidR="00131B54" w:rsidRPr="006805FC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4A4423E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Financial Services</w:t>
      </w:r>
      <w:r w:rsidRPr="006805FC">
        <w:rPr>
          <w:rFonts w:asciiTheme="minorHAnsi" w:hAnsiTheme="minorHAnsi" w:cstheme="minorHAnsi"/>
          <w:sz w:val="22"/>
          <w:szCs w:val="22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</w:t>
      </w:r>
      <w:r w:rsidRPr="006805FC">
        <w:rPr>
          <w:rFonts w:asciiTheme="minorHAnsi" w:hAnsiTheme="minorHAnsi" w:cstheme="minorHAnsi"/>
          <w:sz w:val="22"/>
          <w:szCs w:val="22"/>
        </w:rPr>
        <w:lastRenderedPageBreak/>
        <w:t>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0A4F70D4" w:rsidR="00131B54" w:rsidRPr="006805FC" w:rsidRDefault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AG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525C13" w:rsidRPr="006805FC">
        <w:rPr>
          <w:rFonts w:asciiTheme="minorHAnsi" w:hAnsiTheme="minorHAnsi" w:cstheme="minorHAnsi"/>
          <w:sz w:val="22"/>
          <w:szCs w:val="22"/>
        </w:rPr>
        <w:t>to lider technologiczny będący globalnym symbolem doskonałości technologicznej, innowacyjności, jakości i niezawodności od ponad 170 lat</w:t>
      </w:r>
      <w:r w:rsidR="00995572" w:rsidRPr="006805FC">
        <w:rPr>
          <w:rFonts w:asciiTheme="minorHAnsi" w:hAnsiTheme="minorHAnsi" w:cstheme="minorHAnsi"/>
          <w:sz w:val="22"/>
          <w:szCs w:val="22"/>
        </w:rPr>
        <w:t>.</w:t>
      </w:r>
      <w:r w:rsidRPr="006805FC">
        <w:rPr>
          <w:rFonts w:asciiTheme="minorHAnsi" w:hAnsiTheme="minorHAnsi" w:cstheme="minorHAnsi"/>
          <w:sz w:val="22"/>
          <w:szCs w:val="22"/>
        </w:rPr>
        <w:t xml:space="preserve"> Firma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jest obecna na całym świecie</w:t>
      </w:r>
      <w:r w:rsidRPr="006805FC">
        <w:rPr>
          <w:rFonts w:asciiTheme="minorHAnsi" w:hAnsiTheme="minorHAnsi" w:cstheme="minorHAnsi"/>
          <w:sz w:val="22"/>
          <w:szCs w:val="22"/>
        </w:rPr>
        <w:t xml:space="preserve">, koncentrując się na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obszarach wytwarzania i dystrybucji energii, inteligentnej infrastruktury dla budynków, rozproszonych systemów energetycznych oraz automatyzacji i cyfryzacji w przemyśle przetwórczym i produkcyjnym. Poprzez osobno zarządzaną firmę Siemens Mobility – wiodącego </w:t>
      </w:r>
      <w:r w:rsidR="00CE5D91" w:rsidRPr="006805FC">
        <w:rPr>
          <w:rFonts w:asciiTheme="minorHAnsi" w:hAnsiTheme="minorHAnsi" w:cstheme="minorHAnsi"/>
          <w:sz w:val="22"/>
          <w:szCs w:val="22"/>
        </w:rPr>
        <w:t>dostawcę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inteligentnych rozwiązań w zakresie mobilności dla transportu kolejowego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i drogowego </w:t>
      </w:r>
      <w:r w:rsidR="00CF6B6C" w:rsidRPr="006805FC">
        <w:rPr>
          <w:rFonts w:asciiTheme="minorHAnsi" w:hAnsiTheme="minorHAnsi" w:cstheme="minorHAnsi"/>
          <w:sz w:val="22"/>
          <w:szCs w:val="22"/>
        </w:rPr>
        <w:t>– Siemens kształtuje światowy rynek u</w:t>
      </w:r>
      <w:r w:rsidR="00CE5D91" w:rsidRPr="006805FC">
        <w:rPr>
          <w:rFonts w:asciiTheme="minorHAnsi" w:hAnsiTheme="minorHAnsi" w:cstheme="minorHAnsi"/>
          <w:sz w:val="22"/>
          <w:szCs w:val="22"/>
        </w:rPr>
        <w:t>sług pasażerskich i towarowych.</w:t>
      </w:r>
      <w:r w:rsidR="000926B4" w:rsidRPr="006805FC">
        <w:rPr>
          <w:rFonts w:asciiTheme="minorHAnsi" w:hAnsiTheme="minorHAnsi" w:cstheme="minorHAnsi"/>
          <w:sz w:val="22"/>
          <w:szCs w:val="22"/>
        </w:rPr>
        <w:t xml:space="preserve"> Natomiast j</w:t>
      </w:r>
      <w:r w:rsidR="00CF6B6C" w:rsidRPr="006805FC">
        <w:rPr>
          <w:rFonts w:asciiTheme="minorHAnsi" w:hAnsiTheme="minorHAnsi" w:cstheme="minorHAnsi"/>
          <w:sz w:val="22"/>
          <w:szCs w:val="22"/>
        </w:rPr>
        <w:t>ako większościowy udziałowiec w spółkach Siemens Healthineers AG i Siemens Gamesa Renewable</w:t>
      </w:r>
      <w:r w:rsidR="009441A5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CF6B6C" w:rsidRPr="006805FC">
        <w:rPr>
          <w:rFonts w:asciiTheme="minorHAnsi" w:hAnsiTheme="minorHAnsi" w:cstheme="minorHAnsi"/>
          <w:sz w:val="22"/>
          <w:szCs w:val="22"/>
        </w:rPr>
        <w:t>Energy, jest również wiodącym dostawcą technologii medycznej i cyfrowych usług opieki zdrowotnej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 na świecie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250695" w:rsidRPr="006805FC">
        <w:rPr>
          <w:rFonts w:asciiTheme="minorHAnsi" w:hAnsiTheme="minorHAnsi" w:cstheme="minorHAnsi"/>
          <w:sz w:val="22"/>
          <w:szCs w:val="22"/>
        </w:rPr>
        <w:t xml:space="preserve">przyjaznych środowisku rozwiązań z 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wykorzystaniem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energii wiatrowej na lądzie i morzu. </w:t>
      </w:r>
      <w:r w:rsidRPr="006805FC">
        <w:rPr>
          <w:rFonts w:asciiTheme="minorHAnsi" w:hAnsiTheme="minorHAnsi" w:cstheme="minorHAnsi"/>
          <w:sz w:val="22"/>
          <w:szCs w:val="22"/>
        </w:rPr>
        <w:t>W roku finansowym 201</w:t>
      </w:r>
      <w:r w:rsidR="008944F1" w:rsidRPr="006805FC">
        <w:rPr>
          <w:rFonts w:asciiTheme="minorHAnsi" w:hAnsiTheme="minorHAnsi" w:cstheme="minorHAnsi"/>
          <w:sz w:val="22"/>
          <w:szCs w:val="22"/>
        </w:rPr>
        <w:t>9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Siemens wygenerował</w:t>
      </w:r>
      <w:r w:rsidRPr="006805FC">
        <w:rPr>
          <w:rFonts w:asciiTheme="minorHAnsi" w:hAnsiTheme="minorHAnsi" w:cstheme="minorHAnsi"/>
          <w:sz w:val="22"/>
          <w:szCs w:val="22"/>
        </w:rPr>
        <w:t xml:space="preserve"> przych</w:t>
      </w:r>
      <w:r w:rsidR="00CF6B6C" w:rsidRPr="006805FC">
        <w:rPr>
          <w:rFonts w:asciiTheme="minorHAnsi" w:hAnsiTheme="minorHAnsi" w:cstheme="minorHAnsi"/>
          <w:sz w:val="22"/>
          <w:szCs w:val="22"/>
        </w:rPr>
        <w:t>o</w:t>
      </w:r>
      <w:r w:rsidRPr="006805FC">
        <w:rPr>
          <w:rFonts w:asciiTheme="minorHAnsi" w:hAnsiTheme="minorHAnsi" w:cstheme="minorHAnsi"/>
          <w:sz w:val="22"/>
          <w:szCs w:val="22"/>
        </w:rPr>
        <w:t>d</w:t>
      </w:r>
      <w:r w:rsidR="00CF6B6C" w:rsidRPr="006805FC">
        <w:rPr>
          <w:rFonts w:asciiTheme="minorHAnsi" w:hAnsiTheme="minorHAnsi" w:cstheme="minorHAnsi"/>
          <w:sz w:val="22"/>
          <w:szCs w:val="22"/>
        </w:rPr>
        <w:t>y</w:t>
      </w:r>
      <w:r w:rsidRPr="006805FC">
        <w:rPr>
          <w:rFonts w:asciiTheme="minorHAnsi" w:hAnsiTheme="minorHAnsi" w:cstheme="minorHAnsi"/>
          <w:sz w:val="22"/>
          <w:szCs w:val="22"/>
        </w:rPr>
        <w:t xml:space="preserve"> w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86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8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 euro, a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zysk  </w:t>
      </w:r>
      <w:r w:rsidRPr="006805FC">
        <w:rPr>
          <w:rFonts w:asciiTheme="minorHAnsi" w:hAnsiTheme="minorHAnsi" w:cstheme="minorHAnsi"/>
          <w:sz w:val="22"/>
          <w:szCs w:val="22"/>
        </w:rPr>
        <w:t>netto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na poziomie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5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6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miliarda. Firma zatrudnia około 3</w:t>
      </w:r>
      <w:r w:rsidR="00CF6B6C" w:rsidRPr="006805FC">
        <w:rPr>
          <w:rFonts w:asciiTheme="minorHAnsi" w:hAnsiTheme="minorHAnsi" w:cstheme="minorHAnsi"/>
          <w:sz w:val="22"/>
          <w:szCs w:val="22"/>
        </w:rPr>
        <w:t>80</w:t>
      </w:r>
      <w:r w:rsidRPr="006805FC">
        <w:rPr>
          <w:rFonts w:asciiTheme="minorHAnsi" w:hAnsiTheme="minorHAnsi" w:cstheme="minorHAnsi"/>
          <w:sz w:val="22"/>
          <w:szCs w:val="22"/>
        </w:rPr>
        <w:t xml:space="preserve"> tysięcy pracowników na całym świecie. Więcej informacji można znaleźć na stronie: </w:t>
      </w:r>
      <w:hyperlink r:id="rId11" w:history="1">
        <w:r w:rsidRPr="006805FC">
          <w:rPr>
            <w:rFonts w:asciiTheme="minorHAnsi" w:hAnsiTheme="minorHAnsi" w:cstheme="minorHAnsi"/>
            <w:sz w:val="22"/>
            <w:szCs w:val="22"/>
          </w:rPr>
          <w:t>http://www.siemens.com</w:t>
        </w:r>
      </w:hyperlink>
      <w:r w:rsidRPr="006805FC">
        <w:rPr>
          <w:rFonts w:asciiTheme="minorHAnsi" w:hAnsiTheme="minorHAnsi" w:cstheme="minorHAnsi"/>
          <w:sz w:val="22"/>
          <w:szCs w:val="22"/>
        </w:rPr>
        <w:t>.</w:t>
      </w:r>
    </w:p>
    <w:sectPr w:rsidR="00131B54" w:rsidRPr="006805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B346" w14:textId="77777777" w:rsidR="00AB6F32" w:rsidRDefault="00AB6F32">
      <w:r>
        <w:separator/>
      </w:r>
    </w:p>
  </w:endnote>
  <w:endnote w:type="continuationSeparator" w:id="0">
    <w:p w14:paraId="3F9E18F0" w14:textId="77777777" w:rsidR="00AB6F32" w:rsidRDefault="00AB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emens Sans">
    <w:altName w:val="Times New Roman"/>
    <w:charset w:val="00"/>
    <w:family w:val="auto"/>
    <w:pitch w:val="variable"/>
    <w:sig w:usb0="A00002FF" w:usb1="1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EA2719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EA2719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27F1" w14:textId="77777777" w:rsidR="00AB6F32" w:rsidRDefault="00AB6F32">
      <w:r>
        <w:separator/>
      </w:r>
    </w:p>
  </w:footnote>
  <w:footnote w:type="continuationSeparator" w:id="0">
    <w:p w14:paraId="1FFFB4EF" w14:textId="77777777" w:rsidR="00AB6F32" w:rsidRDefault="00AB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5EED0136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2681106F" w:rsidR="004234E0" w:rsidRDefault="000B2E9D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</w:t>
          </w:r>
          <w:r w:rsidR="00497028">
            <w:rPr>
              <w:rFonts w:ascii="Siemens Sans" w:hAnsi="Siemens Sans"/>
              <w:lang w:val="pl-PL"/>
            </w:rPr>
            <w:t xml:space="preserve"> wrzesień</w:t>
          </w:r>
          <w:r w:rsidR="002E3EAB">
            <w:rPr>
              <w:rFonts w:ascii="Siemens Sans" w:hAnsi="Siemens Sans"/>
              <w:lang w:val="pl-PL"/>
            </w:rPr>
            <w:t xml:space="preserve"> </w:t>
          </w:r>
          <w:r w:rsidR="00662892">
            <w:rPr>
              <w:rFonts w:ascii="Siemens Sans" w:hAnsi="Siemens Sans"/>
              <w:lang w:val="pl-PL"/>
            </w:rPr>
            <w:t>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B52A0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23D1"/>
    <w:rsid w:val="00002854"/>
    <w:rsid w:val="0000324B"/>
    <w:rsid w:val="00003350"/>
    <w:rsid w:val="00003D25"/>
    <w:rsid w:val="000042B8"/>
    <w:rsid w:val="0000540E"/>
    <w:rsid w:val="00006AB6"/>
    <w:rsid w:val="000074F4"/>
    <w:rsid w:val="00007E70"/>
    <w:rsid w:val="00007FA1"/>
    <w:rsid w:val="00011C2D"/>
    <w:rsid w:val="00012837"/>
    <w:rsid w:val="0001370F"/>
    <w:rsid w:val="000138A6"/>
    <w:rsid w:val="000139F5"/>
    <w:rsid w:val="00013BF9"/>
    <w:rsid w:val="00015492"/>
    <w:rsid w:val="00017352"/>
    <w:rsid w:val="00021446"/>
    <w:rsid w:val="00021756"/>
    <w:rsid w:val="00021832"/>
    <w:rsid w:val="0002188B"/>
    <w:rsid w:val="000231B9"/>
    <w:rsid w:val="0002470C"/>
    <w:rsid w:val="00025DBE"/>
    <w:rsid w:val="00027068"/>
    <w:rsid w:val="0002728E"/>
    <w:rsid w:val="00027A15"/>
    <w:rsid w:val="00030B82"/>
    <w:rsid w:val="0003663C"/>
    <w:rsid w:val="0003740C"/>
    <w:rsid w:val="00041098"/>
    <w:rsid w:val="00041D20"/>
    <w:rsid w:val="00042C5D"/>
    <w:rsid w:val="00044485"/>
    <w:rsid w:val="0004527D"/>
    <w:rsid w:val="000456E3"/>
    <w:rsid w:val="00046DCD"/>
    <w:rsid w:val="00047EC6"/>
    <w:rsid w:val="00051537"/>
    <w:rsid w:val="00052472"/>
    <w:rsid w:val="00052B37"/>
    <w:rsid w:val="00052B54"/>
    <w:rsid w:val="000533B8"/>
    <w:rsid w:val="0006010D"/>
    <w:rsid w:val="00060264"/>
    <w:rsid w:val="00062A5E"/>
    <w:rsid w:val="0006414E"/>
    <w:rsid w:val="00064970"/>
    <w:rsid w:val="00064FD6"/>
    <w:rsid w:val="00066962"/>
    <w:rsid w:val="0006780A"/>
    <w:rsid w:val="00070F1D"/>
    <w:rsid w:val="00071034"/>
    <w:rsid w:val="00071BB9"/>
    <w:rsid w:val="00071DEB"/>
    <w:rsid w:val="0007224A"/>
    <w:rsid w:val="000730D6"/>
    <w:rsid w:val="00073330"/>
    <w:rsid w:val="000749A2"/>
    <w:rsid w:val="00075E82"/>
    <w:rsid w:val="00076017"/>
    <w:rsid w:val="0007621B"/>
    <w:rsid w:val="00077C8A"/>
    <w:rsid w:val="000815B7"/>
    <w:rsid w:val="00082551"/>
    <w:rsid w:val="000847F9"/>
    <w:rsid w:val="0008525A"/>
    <w:rsid w:val="00086770"/>
    <w:rsid w:val="00086CAA"/>
    <w:rsid w:val="00086CFB"/>
    <w:rsid w:val="00090B18"/>
    <w:rsid w:val="00092465"/>
    <w:rsid w:val="000926B4"/>
    <w:rsid w:val="00093A05"/>
    <w:rsid w:val="000947FB"/>
    <w:rsid w:val="00097129"/>
    <w:rsid w:val="000A168F"/>
    <w:rsid w:val="000A456F"/>
    <w:rsid w:val="000A544C"/>
    <w:rsid w:val="000A60D7"/>
    <w:rsid w:val="000A6824"/>
    <w:rsid w:val="000B00AF"/>
    <w:rsid w:val="000B08F7"/>
    <w:rsid w:val="000B0BD5"/>
    <w:rsid w:val="000B1164"/>
    <w:rsid w:val="000B2E9D"/>
    <w:rsid w:val="000B337C"/>
    <w:rsid w:val="000B360D"/>
    <w:rsid w:val="000B4ADE"/>
    <w:rsid w:val="000B6A28"/>
    <w:rsid w:val="000B71A3"/>
    <w:rsid w:val="000B7CDE"/>
    <w:rsid w:val="000C009A"/>
    <w:rsid w:val="000C0C7F"/>
    <w:rsid w:val="000C10AC"/>
    <w:rsid w:val="000C14B9"/>
    <w:rsid w:val="000C3CA3"/>
    <w:rsid w:val="000C4853"/>
    <w:rsid w:val="000C4F6E"/>
    <w:rsid w:val="000C6533"/>
    <w:rsid w:val="000C773C"/>
    <w:rsid w:val="000D0C0C"/>
    <w:rsid w:val="000D0F8A"/>
    <w:rsid w:val="000D1822"/>
    <w:rsid w:val="000D23A0"/>
    <w:rsid w:val="000D321E"/>
    <w:rsid w:val="000D3CC7"/>
    <w:rsid w:val="000D4288"/>
    <w:rsid w:val="000D4D65"/>
    <w:rsid w:val="000D547F"/>
    <w:rsid w:val="000D6CB2"/>
    <w:rsid w:val="000D7553"/>
    <w:rsid w:val="000E068A"/>
    <w:rsid w:val="000E157A"/>
    <w:rsid w:val="000E2295"/>
    <w:rsid w:val="000E4683"/>
    <w:rsid w:val="000E6540"/>
    <w:rsid w:val="000E69F6"/>
    <w:rsid w:val="000E785F"/>
    <w:rsid w:val="000F0CA9"/>
    <w:rsid w:val="000F11DF"/>
    <w:rsid w:val="000F1989"/>
    <w:rsid w:val="000F2F6C"/>
    <w:rsid w:val="000F4CF6"/>
    <w:rsid w:val="000F5BA6"/>
    <w:rsid w:val="000F61C0"/>
    <w:rsid w:val="000F689B"/>
    <w:rsid w:val="00101378"/>
    <w:rsid w:val="00101E58"/>
    <w:rsid w:val="001021D4"/>
    <w:rsid w:val="001042E1"/>
    <w:rsid w:val="0010460B"/>
    <w:rsid w:val="00106AA2"/>
    <w:rsid w:val="00107119"/>
    <w:rsid w:val="00107614"/>
    <w:rsid w:val="00107BCC"/>
    <w:rsid w:val="001107B9"/>
    <w:rsid w:val="0011139E"/>
    <w:rsid w:val="00111739"/>
    <w:rsid w:val="00116C58"/>
    <w:rsid w:val="00116D07"/>
    <w:rsid w:val="00117071"/>
    <w:rsid w:val="00117223"/>
    <w:rsid w:val="001175C4"/>
    <w:rsid w:val="001176EB"/>
    <w:rsid w:val="0011770C"/>
    <w:rsid w:val="001200A1"/>
    <w:rsid w:val="001260F0"/>
    <w:rsid w:val="0012709C"/>
    <w:rsid w:val="00131355"/>
    <w:rsid w:val="00131B54"/>
    <w:rsid w:val="0013326B"/>
    <w:rsid w:val="00133433"/>
    <w:rsid w:val="0014148E"/>
    <w:rsid w:val="001420E1"/>
    <w:rsid w:val="001423F0"/>
    <w:rsid w:val="00142C9D"/>
    <w:rsid w:val="00143625"/>
    <w:rsid w:val="00143BB0"/>
    <w:rsid w:val="00143DC6"/>
    <w:rsid w:val="00144796"/>
    <w:rsid w:val="00145A29"/>
    <w:rsid w:val="0014675D"/>
    <w:rsid w:val="00150737"/>
    <w:rsid w:val="001507F9"/>
    <w:rsid w:val="00151DA1"/>
    <w:rsid w:val="00153D67"/>
    <w:rsid w:val="00155856"/>
    <w:rsid w:val="00155D63"/>
    <w:rsid w:val="00155DE0"/>
    <w:rsid w:val="00156B07"/>
    <w:rsid w:val="0015768F"/>
    <w:rsid w:val="00157A70"/>
    <w:rsid w:val="0016025C"/>
    <w:rsid w:val="00161C2D"/>
    <w:rsid w:val="00161F9D"/>
    <w:rsid w:val="001626CB"/>
    <w:rsid w:val="00162FA2"/>
    <w:rsid w:val="00163316"/>
    <w:rsid w:val="00164A02"/>
    <w:rsid w:val="0016513B"/>
    <w:rsid w:val="001667B4"/>
    <w:rsid w:val="001667E6"/>
    <w:rsid w:val="001701E5"/>
    <w:rsid w:val="00171BD2"/>
    <w:rsid w:val="0017276A"/>
    <w:rsid w:val="001729C5"/>
    <w:rsid w:val="00177711"/>
    <w:rsid w:val="00182B61"/>
    <w:rsid w:val="00184463"/>
    <w:rsid w:val="00184B15"/>
    <w:rsid w:val="00185169"/>
    <w:rsid w:val="0018553F"/>
    <w:rsid w:val="001901DC"/>
    <w:rsid w:val="001902EE"/>
    <w:rsid w:val="00191750"/>
    <w:rsid w:val="0019237F"/>
    <w:rsid w:val="001935E2"/>
    <w:rsid w:val="00194D91"/>
    <w:rsid w:val="0019565B"/>
    <w:rsid w:val="0019785F"/>
    <w:rsid w:val="001A0131"/>
    <w:rsid w:val="001A184D"/>
    <w:rsid w:val="001A466A"/>
    <w:rsid w:val="001A61EA"/>
    <w:rsid w:val="001B0626"/>
    <w:rsid w:val="001B0BA0"/>
    <w:rsid w:val="001B0D68"/>
    <w:rsid w:val="001B4A1E"/>
    <w:rsid w:val="001B6A7A"/>
    <w:rsid w:val="001B6DED"/>
    <w:rsid w:val="001C0B76"/>
    <w:rsid w:val="001C15A4"/>
    <w:rsid w:val="001C210C"/>
    <w:rsid w:val="001C5627"/>
    <w:rsid w:val="001C5BFE"/>
    <w:rsid w:val="001C6E42"/>
    <w:rsid w:val="001C7E54"/>
    <w:rsid w:val="001D13C1"/>
    <w:rsid w:val="001D15A6"/>
    <w:rsid w:val="001D27ED"/>
    <w:rsid w:val="001D64FA"/>
    <w:rsid w:val="001E00E7"/>
    <w:rsid w:val="001E02C8"/>
    <w:rsid w:val="001E1648"/>
    <w:rsid w:val="001E1C9E"/>
    <w:rsid w:val="001E1FA5"/>
    <w:rsid w:val="001E411D"/>
    <w:rsid w:val="001E478A"/>
    <w:rsid w:val="001E501D"/>
    <w:rsid w:val="001E68DC"/>
    <w:rsid w:val="001F0A51"/>
    <w:rsid w:val="001F12AE"/>
    <w:rsid w:val="001F4C82"/>
    <w:rsid w:val="001F5C40"/>
    <w:rsid w:val="001F5EA8"/>
    <w:rsid w:val="001F66FE"/>
    <w:rsid w:val="001F7FC2"/>
    <w:rsid w:val="002000D0"/>
    <w:rsid w:val="002004FA"/>
    <w:rsid w:val="00200F33"/>
    <w:rsid w:val="00201038"/>
    <w:rsid w:val="002022E2"/>
    <w:rsid w:val="00203447"/>
    <w:rsid w:val="00204F6F"/>
    <w:rsid w:val="00207BCF"/>
    <w:rsid w:val="00210B56"/>
    <w:rsid w:val="002116E4"/>
    <w:rsid w:val="002119F7"/>
    <w:rsid w:val="00212E62"/>
    <w:rsid w:val="00216157"/>
    <w:rsid w:val="00216293"/>
    <w:rsid w:val="002163D4"/>
    <w:rsid w:val="00216A56"/>
    <w:rsid w:val="002172B8"/>
    <w:rsid w:val="00217B28"/>
    <w:rsid w:val="00221AF0"/>
    <w:rsid w:val="00221E0E"/>
    <w:rsid w:val="002220DD"/>
    <w:rsid w:val="0022233A"/>
    <w:rsid w:val="002223AC"/>
    <w:rsid w:val="002247B5"/>
    <w:rsid w:val="002248D5"/>
    <w:rsid w:val="00224B5F"/>
    <w:rsid w:val="0022728F"/>
    <w:rsid w:val="00230FF8"/>
    <w:rsid w:val="00232597"/>
    <w:rsid w:val="00233B94"/>
    <w:rsid w:val="00234374"/>
    <w:rsid w:val="00234BDF"/>
    <w:rsid w:val="0023626D"/>
    <w:rsid w:val="0023672F"/>
    <w:rsid w:val="002371E8"/>
    <w:rsid w:val="00240CAF"/>
    <w:rsid w:val="00241AF5"/>
    <w:rsid w:val="00242389"/>
    <w:rsid w:val="002429BB"/>
    <w:rsid w:val="00243503"/>
    <w:rsid w:val="002437C3"/>
    <w:rsid w:val="002439DB"/>
    <w:rsid w:val="002442B8"/>
    <w:rsid w:val="00244670"/>
    <w:rsid w:val="002473B1"/>
    <w:rsid w:val="002475D4"/>
    <w:rsid w:val="00250695"/>
    <w:rsid w:val="0025092B"/>
    <w:rsid w:val="00250FEE"/>
    <w:rsid w:val="002511B2"/>
    <w:rsid w:val="00252599"/>
    <w:rsid w:val="00252D3D"/>
    <w:rsid w:val="0025375C"/>
    <w:rsid w:val="00254396"/>
    <w:rsid w:val="002545E2"/>
    <w:rsid w:val="00255D49"/>
    <w:rsid w:val="00256F0A"/>
    <w:rsid w:val="00260A10"/>
    <w:rsid w:val="00260E3F"/>
    <w:rsid w:val="00262012"/>
    <w:rsid w:val="00264CB2"/>
    <w:rsid w:val="00267738"/>
    <w:rsid w:val="00270686"/>
    <w:rsid w:val="00270B8E"/>
    <w:rsid w:val="002713C8"/>
    <w:rsid w:val="00271D09"/>
    <w:rsid w:val="00272040"/>
    <w:rsid w:val="00272E8A"/>
    <w:rsid w:val="0027398D"/>
    <w:rsid w:val="00277985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6FB2"/>
    <w:rsid w:val="0028735D"/>
    <w:rsid w:val="00287CE3"/>
    <w:rsid w:val="00287DF9"/>
    <w:rsid w:val="00290EBA"/>
    <w:rsid w:val="00292277"/>
    <w:rsid w:val="00292842"/>
    <w:rsid w:val="00292EE3"/>
    <w:rsid w:val="002935FC"/>
    <w:rsid w:val="00295999"/>
    <w:rsid w:val="002A0072"/>
    <w:rsid w:val="002A017D"/>
    <w:rsid w:val="002A1504"/>
    <w:rsid w:val="002A15E8"/>
    <w:rsid w:val="002A2E92"/>
    <w:rsid w:val="002A322E"/>
    <w:rsid w:val="002A334F"/>
    <w:rsid w:val="002A498A"/>
    <w:rsid w:val="002A778A"/>
    <w:rsid w:val="002B046B"/>
    <w:rsid w:val="002B16CD"/>
    <w:rsid w:val="002B1C8F"/>
    <w:rsid w:val="002B3237"/>
    <w:rsid w:val="002B524B"/>
    <w:rsid w:val="002B6B1B"/>
    <w:rsid w:val="002C02BF"/>
    <w:rsid w:val="002C0B21"/>
    <w:rsid w:val="002C0DDA"/>
    <w:rsid w:val="002C2B26"/>
    <w:rsid w:val="002C5EA6"/>
    <w:rsid w:val="002C6AA0"/>
    <w:rsid w:val="002C74B5"/>
    <w:rsid w:val="002D180B"/>
    <w:rsid w:val="002D1D27"/>
    <w:rsid w:val="002D2215"/>
    <w:rsid w:val="002D221A"/>
    <w:rsid w:val="002D4221"/>
    <w:rsid w:val="002D4891"/>
    <w:rsid w:val="002D6293"/>
    <w:rsid w:val="002D6844"/>
    <w:rsid w:val="002D7FC5"/>
    <w:rsid w:val="002E0506"/>
    <w:rsid w:val="002E06B0"/>
    <w:rsid w:val="002E151E"/>
    <w:rsid w:val="002E155E"/>
    <w:rsid w:val="002E1C04"/>
    <w:rsid w:val="002E2C22"/>
    <w:rsid w:val="002E3EAB"/>
    <w:rsid w:val="002E5279"/>
    <w:rsid w:val="002E71FA"/>
    <w:rsid w:val="002E7820"/>
    <w:rsid w:val="002F1FDE"/>
    <w:rsid w:val="002F4F02"/>
    <w:rsid w:val="002F6800"/>
    <w:rsid w:val="002F6A01"/>
    <w:rsid w:val="002F7A3B"/>
    <w:rsid w:val="002F7E5E"/>
    <w:rsid w:val="003035EC"/>
    <w:rsid w:val="00306D5E"/>
    <w:rsid w:val="00307013"/>
    <w:rsid w:val="00307A1A"/>
    <w:rsid w:val="00307A6C"/>
    <w:rsid w:val="00310E1A"/>
    <w:rsid w:val="00311930"/>
    <w:rsid w:val="00312648"/>
    <w:rsid w:val="003126BF"/>
    <w:rsid w:val="003136D4"/>
    <w:rsid w:val="003138C0"/>
    <w:rsid w:val="00313960"/>
    <w:rsid w:val="00315A93"/>
    <w:rsid w:val="003171D4"/>
    <w:rsid w:val="00320547"/>
    <w:rsid w:val="00321E84"/>
    <w:rsid w:val="00321EAD"/>
    <w:rsid w:val="0032281C"/>
    <w:rsid w:val="0032315C"/>
    <w:rsid w:val="00323603"/>
    <w:rsid w:val="00323AA6"/>
    <w:rsid w:val="0032486F"/>
    <w:rsid w:val="00325510"/>
    <w:rsid w:val="00325895"/>
    <w:rsid w:val="00325CFB"/>
    <w:rsid w:val="003265E6"/>
    <w:rsid w:val="003266BC"/>
    <w:rsid w:val="003275D2"/>
    <w:rsid w:val="00331262"/>
    <w:rsid w:val="0033173E"/>
    <w:rsid w:val="003331E1"/>
    <w:rsid w:val="003334B1"/>
    <w:rsid w:val="00333F04"/>
    <w:rsid w:val="00340225"/>
    <w:rsid w:val="003409A2"/>
    <w:rsid w:val="00342300"/>
    <w:rsid w:val="003431E9"/>
    <w:rsid w:val="0034342F"/>
    <w:rsid w:val="00343BD6"/>
    <w:rsid w:val="0034557A"/>
    <w:rsid w:val="00345C05"/>
    <w:rsid w:val="003464FF"/>
    <w:rsid w:val="00346C04"/>
    <w:rsid w:val="0034754A"/>
    <w:rsid w:val="00347860"/>
    <w:rsid w:val="00347EBC"/>
    <w:rsid w:val="0035080C"/>
    <w:rsid w:val="0035196E"/>
    <w:rsid w:val="00353134"/>
    <w:rsid w:val="00353828"/>
    <w:rsid w:val="00355E9D"/>
    <w:rsid w:val="00361C55"/>
    <w:rsid w:val="00364692"/>
    <w:rsid w:val="00367379"/>
    <w:rsid w:val="00370874"/>
    <w:rsid w:val="00370AE0"/>
    <w:rsid w:val="00371502"/>
    <w:rsid w:val="00371A0A"/>
    <w:rsid w:val="003733BF"/>
    <w:rsid w:val="00373B09"/>
    <w:rsid w:val="00374AD0"/>
    <w:rsid w:val="003776F7"/>
    <w:rsid w:val="00382766"/>
    <w:rsid w:val="00383465"/>
    <w:rsid w:val="003834A0"/>
    <w:rsid w:val="00383C49"/>
    <w:rsid w:val="00384345"/>
    <w:rsid w:val="00386011"/>
    <w:rsid w:val="003873F5"/>
    <w:rsid w:val="00387A9C"/>
    <w:rsid w:val="00387CAB"/>
    <w:rsid w:val="00387D14"/>
    <w:rsid w:val="003905F6"/>
    <w:rsid w:val="003919B4"/>
    <w:rsid w:val="00391D48"/>
    <w:rsid w:val="003923E4"/>
    <w:rsid w:val="00393B80"/>
    <w:rsid w:val="0039775C"/>
    <w:rsid w:val="003A13DB"/>
    <w:rsid w:val="003A1C4E"/>
    <w:rsid w:val="003A3DB2"/>
    <w:rsid w:val="003A57B5"/>
    <w:rsid w:val="003A57F5"/>
    <w:rsid w:val="003A5992"/>
    <w:rsid w:val="003A60AB"/>
    <w:rsid w:val="003A678F"/>
    <w:rsid w:val="003A7B1D"/>
    <w:rsid w:val="003B34B0"/>
    <w:rsid w:val="003B3A2D"/>
    <w:rsid w:val="003B3BC2"/>
    <w:rsid w:val="003B4374"/>
    <w:rsid w:val="003B5053"/>
    <w:rsid w:val="003B5D3A"/>
    <w:rsid w:val="003B691F"/>
    <w:rsid w:val="003B6EB2"/>
    <w:rsid w:val="003B7B6B"/>
    <w:rsid w:val="003C047E"/>
    <w:rsid w:val="003C1E57"/>
    <w:rsid w:val="003C1E77"/>
    <w:rsid w:val="003C2732"/>
    <w:rsid w:val="003C335B"/>
    <w:rsid w:val="003C3BD7"/>
    <w:rsid w:val="003C3E15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C1F"/>
    <w:rsid w:val="003D7590"/>
    <w:rsid w:val="003D75BD"/>
    <w:rsid w:val="003E2529"/>
    <w:rsid w:val="003E4C71"/>
    <w:rsid w:val="003E4D8F"/>
    <w:rsid w:val="003E53CD"/>
    <w:rsid w:val="003E57D8"/>
    <w:rsid w:val="003E57FE"/>
    <w:rsid w:val="003E6E48"/>
    <w:rsid w:val="003E6EA2"/>
    <w:rsid w:val="003E7F95"/>
    <w:rsid w:val="003F0C76"/>
    <w:rsid w:val="003F2F42"/>
    <w:rsid w:val="003F3041"/>
    <w:rsid w:val="003F3871"/>
    <w:rsid w:val="003F39B2"/>
    <w:rsid w:val="003F3CE3"/>
    <w:rsid w:val="003F4DB1"/>
    <w:rsid w:val="003F5F48"/>
    <w:rsid w:val="003F7EC9"/>
    <w:rsid w:val="004002A7"/>
    <w:rsid w:val="0040284B"/>
    <w:rsid w:val="00403E1F"/>
    <w:rsid w:val="00404FFC"/>
    <w:rsid w:val="00405F2C"/>
    <w:rsid w:val="00406F9A"/>
    <w:rsid w:val="004071D5"/>
    <w:rsid w:val="004072A7"/>
    <w:rsid w:val="00407A0C"/>
    <w:rsid w:val="00407FCB"/>
    <w:rsid w:val="0041112B"/>
    <w:rsid w:val="00411367"/>
    <w:rsid w:val="004115CA"/>
    <w:rsid w:val="00412C15"/>
    <w:rsid w:val="00412CDB"/>
    <w:rsid w:val="00412DD9"/>
    <w:rsid w:val="004140E4"/>
    <w:rsid w:val="004144C1"/>
    <w:rsid w:val="00416DB3"/>
    <w:rsid w:val="004177C6"/>
    <w:rsid w:val="00420032"/>
    <w:rsid w:val="00420776"/>
    <w:rsid w:val="0042162E"/>
    <w:rsid w:val="00421EFB"/>
    <w:rsid w:val="004234E0"/>
    <w:rsid w:val="00423FCC"/>
    <w:rsid w:val="00425680"/>
    <w:rsid w:val="00427348"/>
    <w:rsid w:val="0043006A"/>
    <w:rsid w:val="00433E56"/>
    <w:rsid w:val="00435145"/>
    <w:rsid w:val="00436348"/>
    <w:rsid w:val="00436A7D"/>
    <w:rsid w:val="00436F75"/>
    <w:rsid w:val="00441AB3"/>
    <w:rsid w:val="00442188"/>
    <w:rsid w:val="004429CF"/>
    <w:rsid w:val="004430E9"/>
    <w:rsid w:val="00443877"/>
    <w:rsid w:val="00445F24"/>
    <w:rsid w:val="00446EA7"/>
    <w:rsid w:val="00446F56"/>
    <w:rsid w:val="00452846"/>
    <w:rsid w:val="004537CD"/>
    <w:rsid w:val="00454DB3"/>
    <w:rsid w:val="00455FFE"/>
    <w:rsid w:val="00456A4A"/>
    <w:rsid w:val="004570A3"/>
    <w:rsid w:val="00457D07"/>
    <w:rsid w:val="004601DB"/>
    <w:rsid w:val="004616C5"/>
    <w:rsid w:val="00461A0C"/>
    <w:rsid w:val="00462A58"/>
    <w:rsid w:val="00462F76"/>
    <w:rsid w:val="004637CE"/>
    <w:rsid w:val="004650A1"/>
    <w:rsid w:val="004656B5"/>
    <w:rsid w:val="00465B98"/>
    <w:rsid w:val="004666F6"/>
    <w:rsid w:val="004709F5"/>
    <w:rsid w:val="00470ADE"/>
    <w:rsid w:val="004715A1"/>
    <w:rsid w:val="004730DC"/>
    <w:rsid w:val="004735A6"/>
    <w:rsid w:val="004736DF"/>
    <w:rsid w:val="004736EE"/>
    <w:rsid w:val="00473ECF"/>
    <w:rsid w:val="00474D24"/>
    <w:rsid w:val="00475350"/>
    <w:rsid w:val="00475784"/>
    <w:rsid w:val="00480B8A"/>
    <w:rsid w:val="00480F1A"/>
    <w:rsid w:val="0048120A"/>
    <w:rsid w:val="0048182E"/>
    <w:rsid w:val="00482D58"/>
    <w:rsid w:val="00483C6B"/>
    <w:rsid w:val="00491B33"/>
    <w:rsid w:val="0049268B"/>
    <w:rsid w:val="00493976"/>
    <w:rsid w:val="00494895"/>
    <w:rsid w:val="00497028"/>
    <w:rsid w:val="004A01DE"/>
    <w:rsid w:val="004A14D4"/>
    <w:rsid w:val="004A2AC0"/>
    <w:rsid w:val="004A3D7D"/>
    <w:rsid w:val="004A425C"/>
    <w:rsid w:val="004A7D19"/>
    <w:rsid w:val="004B0550"/>
    <w:rsid w:val="004B1719"/>
    <w:rsid w:val="004B2402"/>
    <w:rsid w:val="004B3CEE"/>
    <w:rsid w:val="004B68D8"/>
    <w:rsid w:val="004B6F1D"/>
    <w:rsid w:val="004C0378"/>
    <w:rsid w:val="004C285E"/>
    <w:rsid w:val="004C2ACA"/>
    <w:rsid w:val="004C30ED"/>
    <w:rsid w:val="004C374B"/>
    <w:rsid w:val="004C6137"/>
    <w:rsid w:val="004C6D01"/>
    <w:rsid w:val="004C6DA3"/>
    <w:rsid w:val="004D1785"/>
    <w:rsid w:val="004D3CF6"/>
    <w:rsid w:val="004D44E8"/>
    <w:rsid w:val="004D541F"/>
    <w:rsid w:val="004D701E"/>
    <w:rsid w:val="004D787B"/>
    <w:rsid w:val="004D7B57"/>
    <w:rsid w:val="004E06A4"/>
    <w:rsid w:val="004E0C75"/>
    <w:rsid w:val="004E0E36"/>
    <w:rsid w:val="004E194A"/>
    <w:rsid w:val="004E239F"/>
    <w:rsid w:val="004E2FE2"/>
    <w:rsid w:val="004E31A1"/>
    <w:rsid w:val="004E334D"/>
    <w:rsid w:val="004E3D12"/>
    <w:rsid w:val="004E403B"/>
    <w:rsid w:val="004E44F1"/>
    <w:rsid w:val="004E4510"/>
    <w:rsid w:val="004E639E"/>
    <w:rsid w:val="004F1456"/>
    <w:rsid w:val="004F2F8E"/>
    <w:rsid w:val="004F3918"/>
    <w:rsid w:val="004F4559"/>
    <w:rsid w:val="004F4626"/>
    <w:rsid w:val="004F49B0"/>
    <w:rsid w:val="004F4C28"/>
    <w:rsid w:val="004F5274"/>
    <w:rsid w:val="004F68A2"/>
    <w:rsid w:val="004F7092"/>
    <w:rsid w:val="0050030E"/>
    <w:rsid w:val="005008AA"/>
    <w:rsid w:val="00502479"/>
    <w:rsid w:val="00502E91"/>
    <w:rsid w:val="00506662"/>
    <w:rsid w:val="00510055"/>
    <w:rsid w:val="005103B3"/>
    <w:rsid w:val="005104CD"/>
    <w:rsid w:val="005109D3"/>
    <w:rsid w:val="0051147F"/>
    <w:rsid w:val="005142A1"/>
    <w:rsid w:val="00516C67"/>
    <w:rsid w:val="00516D4F"/>
    <w:rsid w:val="00520444"/>
    <w:rsid w:val="00520B4B"/>
    <w:rsid w:val="00520F78"/>
    <w:rsid w:val="00521276"/>
    <w:rsid w:val="005218BA"/>
    <w:rsid w:val="00522656"/>
    <w:rsid w:val="005232F1"/>
    <w:rsid w:val="00523CFB"/>
    <w:rsid w:val="00525507"/>
    <w:rsid w:val="00525A3D"/>
    <w:rsid w:val="00525C13"/>
    <w:rsid w:val="00525F83"/>
    <w:rsid w:val="005260A2"/>
    <w:rsid w:val="0053034C"/>
    <w:rsid w:val="005326F4"/>
    <w:rsid w:val="00532B2C"/>
    <w:rsid w:val="00533ACC"/>
    <w:rsid w:val="005369D0"/>
    <w:rsid w:val="00536ECF"/>
    <w:rsid w:val="005411A7"/>
    <w:rsid w:val="00541A26"/>
    <w:rsid w:val="005431DF"/>
    <w:rsid w:val="00544BC2"/>
    <w:rsid w:val="00546C6D"/>
    <w:rsid w:val="00547634"/>
    <w:rsid w:val="005479F3"/>
    <w:rsid w:val="00547BE0"/>
    <w:rsid w:val="00550B40"/>
    <w:rsid w:val="005512D3"/>
    <w:rsid w:val="005529DA"/>
    <w:rsid w:val="005547E7"/>
    <w:rsid w:val="005555D4"/>
    <w:rsid w:val="0055641A"/>
    <w:rsid w:val="00562BCD"/>
    <w:rsid w:val="00562D05"/>
    <w:rsid w:val="00562F18"/>
    <w:rsid w:val="00564468"/>
    <w:rsid w:val="00564979"/>
    <w:rsid w:val="005650CC"/>
    <w:rsid w:val="00566BE5"/>
    <w:rsid w:val="00567375"/>
    <w:rsid w:val="00574625"/>
    <w:rsid w:val="00574917"/>
    <w:rsid w:val="005752A1"/>
    <w:rsid w:val="00575AD2"/>
    <w:rsid w:val="00575D34"/>
    <w:rsid w:val="00577E6B"/>
    <w:rsid w:val="00580898"/>
    <w:rsid w:val="00581287"/>
    <w:rsid w:val="00581DA3"/>
    <w:rsid w:val="00581DD6"/>
    <w:rsid w:val="00582EB0"/>
    <w:rsid w:val="00583F59"/>
    <w:rsid w:val="0058484B"/>
    <w:rsid w:val="00584D87"/>
    <w:rsid w:val="0058630C"/>
    <w:rsid w:val="00586968"/>
    <w:rsid w:val="00586B25"/>
    <w:rsid w:val="00586F21"/>
    <w:rsid w:val="0058746D"/>
    <w:rsid w:val="005923C6"/>
    <w:rsid w:val="00593036"/>
    <w:rsid w:val="00594641"/>
    <w:rsid w:val="0059695D"/>
    <w:rsid w:val="00596C39"/>
    <w:rsid w:val="00596DE7"/>
    <w:rsid w:val="0059729A"/>
    <w:rsid w:val="005A10C1"/>
    <w:rsid w:val="005A35CB"/>
    <w:rsid w:val="005A3ED9"/>
    <w:rsid w:val="005A412F"/>
    <w:rsid w:val="005A47AF"/>
    <w:rsid w:val="005A4A00"/>
    <w:rsid w:val="005A528F"/>
    <w:rsid w:val="005A5C81"/>
    <w:rsid w:val="005A5E55"/>
    <w:rsid w:val="005A6710"/>
    <w:rsid w:val="005A68BB"/>
    <w:rsid w:val="005A6A4C"/>
    <w:rsid w:val="005B02C8"/>
    <w:rsid w:val="005B2350"/>
    <w:rsid w:val="005B317B"/>
    <w:rsid w:val="005B333B"/>
    <w:rsid w:val="005B3E2D"/>
    <w:rsid w:val="005B3F0F"/>
    <w:rsid w:val="005C03A5"/>
    <w:rsid w:val="005C0AF9"/>
    <w:rsid w:val="005C3CB5"/>
    <w:rsid w:val="005C3DC9"/>
    <w:rsid w:val="005C3DFB"/>
    <w:rsid w:val="005C4C9D"/>
    <w:rsid w:val="005C4EF6"/>
    <w:rsid w:val="005C4F7A"/>
    <w:rsid w:val="005C57CB"/>
    <w:rsid w:val="005C5902"/>
    <w:rsid w:val="005C7305"/>
    <w:rsid w:val="005C77A3"/>
    <w:rsid w:val="005C7DF1"/>
    <w:rsid w:val="005D02C2"/>
    <w:rsid w:val="005D1DCF"/>
    <w:rsid w:val="005D1E66"/>
    <w:rsid w:val="005D3519"/>
    <w:rsid w:val="005D3AD1"/>
    <w:rsid w:val="005D5273"/>
    <w:rsid w:val="005D67E1"/>
    <w:rsid w:val="005D6CBC"/>
    <w:rsid w:val="005E07B8"/>
    <w:rsid w:val="005E2DC0"/>
    <w:rsid w:val="005E306A"/>
    <w:rsid w:val="005E315B"/>
    <w:rsid w:val="005E3430"/>
    <w:rsid w:val="005E459E"/>
    <w:rsid w:val="005F4D9E"/>
    <w:rsid w:val="005F5BDE"/>
    <w:rsid w:val="005F73ED"/>
    <w:rsid w:val="005F7D27"/>
    <w:rsid w:val="0060079E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EBA"/>
    <w:rsid w:val="006119A1"/>
    <w:rsid w:val="00613FCB"/>
    <w:rsid w:val="006148B9"/>
    <w:rsid w:val="00615BF3"/>
    <w:rsid w:val="00616EC5"/>
    <w:rsid w:val="00617323"/>
    <w:rsid w:val="006207CD"/>
    <w:rsid w:val="0062087E"/>
    <w:rsid w:val="00620F73"/>
    <w:rsid w:val="00626566"/>
    <w:rsid w:val="00626B21"/>
    <w:rsid w:val="00630508"/>
    <w:rsid w:val="006309F3"/>
    <w:rsid w:val="00632BAE"/>
    <w:rsid w:val="006345AB"/>
    <w:rsid w:val="00634632"/>
    <w:rsid w:val="00634EDC"/>
    <w:rsid w:val="006352AB"/>
    <w:rsid w:val="006360C2"/>
    <w:rsid w:val="00637F48"/>
    <w:rsid w:val="006405A3"/>
    <w:rsid w:val="00641AC2"/>
    <w:rsid w:val="00641FBD"/>
    <w:rsid w:val="00642C33"/>
    <w:rsid w:val="006455E8"/>
    <w:rsid w:val="00646AD1"/>
    <w:rsid w:val="006471DF"/>
    <w:rsid w:val="0065043D"/>
    <w:rsid w:val="00651891"/>
    <w:rsid w:val="00651F77"/>
    <w:rsid w:val="00652028"/>
    <w:rsid w:val="00652732"/>
    <w:rsid w:val="00652A68"/>
    <w:rsid w:val="0065395D"/>
    <w:rsid w:val="00655C0A"/>
    <w:rsid w:val="00655E30"/>
    <w:rsid w:val="0066153F"/>
    <w:rsid w:val="00662213"/>
    <w:rsid w:val="00662892"/>
    <w:rsid w:val="00666461"/>
    <w:rsid w:val="00670EBE"/>
    <w:rsid w:val="006710FC"/>
    <w:rsid w:val="0067173F"/>
    <w:rsid w:val="00671C0D"/>
    <w:rsid w:val="00672BDD"/>
    <w:rsid w:val="00673272"/>
    <w:rsid w:val="0067474F"/>
    <w:rsid w:val="00674E3A"/>
    <w:rsid w:val="00676BBB"/>
    <w:rsid w:val="00676FAD"/>
    <w:rsid w:val="006805FC"/>
    <w:rsid w:val="00681658"/>
    <w:rsid w:val="00681906"/>
    <w:rsid w:val="00681CC8"/>
    <w:rsid w:val="00683776"/>
    <w:rsid w:val="006844E6"/>
    <w:rsid w:val="006867AA"/>
    <w:rsid w:val="00687B04"/>
    <w:rsid w:val="006903FD"/>
    <w:rsid w:val="00690481"/>
    <w:rsid w:val="0069196C"/>
    <w:rsid w:val="00693C2F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4949"/>
    <w:rsid w:val="006A5E7E"/>
    <w:rsid w:val="006A729E"/>
    <w:rsid w:val="006A76E0"/>
    <w:rsid w:val="006B1320"/>
    <w:rsid w:val="006B1881"/>
    <w:rsid w:val="006B2EB3"/>
    <w:rsid w:val="006B32DE"/>
    <w:rsid w:val="006B3931"/>
    <w:rsid w:val="006B52A0"/>
    <w:rsid w:val="006B6A1E"/>
    <w:rsid w:val="006B72C3"/>
    <w:rsid w:val="006B73F4"/>
    <w:rsid w:val="006C04A6"/>
    <w:rsid w:val="006C0A4A"/>
    <w:rsid w:val="006C3EC2"/>
    <w:rsid w:val="006C3EED"/>
    <w:rsid w:val="006C5AEB"/>
    <w:rsid w:val="006C6216"/>
    <w:rsid w:val="006C714D"/>
    <w:rsid w:val="006C7411"/>
    <w:rsid w:val="006C7DCB"/>
    <w:rsid w:val="006D0AC7"/>
    <w:rsid w:val="006D2186"/>
    <w:rsid w:val="006D25B0"/>
    <w:rsid w:val="006D2B36"/>
    <w:rsid w:val="006D2D08"/>
    <w:rsid w:val="006D3E81"/>
    <w:rsid w:val="006D3FE5"/>
    <w:rsid w:val="006D4848"/>
    <w:rsid w:val="006D5938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440B"/>
    <w:rsid w:val="006E549B"/>
    <w:rsid w:val="006E5EDB"/>
    <w:rsid w:val="006E68BD"/>
    <w:rsid w:val="006E6F89"/>
    <w:rsid w:val="006F19B0"/>
    <w:rsid w:val="006F20C7"/>
    <w:rsid w:val="006F2526"/>
    <w:rsid w:val="006F2A2A"/>
    <w:rsid w:val="006F2CDC"/>
    <w:rsid w:val="006F38A1"/>
    <w:rsid w:val="006F46D3"/>
    <w:rsid w:val="006F47B5"/>
    <w:rsid w:val="006F52B2"/>
    <w:rsid w:val="006F5BBF"/>
    <w:rsid w:val="006F65CE"/>
    <w:rsid w:val="006F7B00"/>
    <w:rsid w:val="00702267"/>
    <w:rsid w:val="0070240C"/>
    <w:rsid w:val="007032A4"/>
    <w:rsid w:val="007051D5"/>
    <w:rsid w:val="007076DD"/>
    <w:rsid w:val="00710834"/>
    <w:rsid w:val="007152E2"/>
    <w:rsid w:val="00715688"/>
    <w:rsid w:val="007174D1"/>
    <w:rsid w:val="007177D9"/>
    <w:rsid w:val="007217CD"/>
    <w:rsid w:val="00722DF8"/>
    <w:rsid w:val="007244EE"/>
    <w:rsid w:val="007304E8"/>
    <w:rsid w:val="00731DA1"/>
    <w:rsid w:val="00731F5B"/>
    <w:rsid w:val="007326E6"/>
    <w:rsid w:val="00732AC1"/>
    <w:rsid w:val="00734515"/>
    <w:rsid w:val="00734819"/>
    <w:rsid w:val="0073555D"/>
    <w:rsid w:val="007355DD"/>
    <w:rsid w:val="00736139"/>
    <w:rsid w:val="00736B6A"/>
    <w:rsid w:val="007371CF"/>
    <w:rsid w:val="0074066C"/>
    <w:rsid w:val="00744C76"/>
    <w:rsid w:val="00747C8F"/>
    <w:rsid w:val="007509AB"/>
    <w:rsid w:val="00751081"/>
    <w:rsid w:val="007538D5"/>
    <w:rsid w:val="00755CD2"/>
    <w:rsid w:val="0075765F"/>
    <w:rsid w:val="007618B2"/>
    <w:rsid w:val="00761FA5"/>
    <w:rsid w:val="0076249F"/>
    <w:rsid w:val="0076288B"/>
    <w:rsid w:val="00762E14"/>
    <w:rsid w:val="00763B3B"/>
    <w:rsid w:val="00766507"/>
    <w:rsid w:val="00770B49"/>
    <w:rsid w:val="007718EA"/>
    <w:rsid w:val="007727BE"/>
    <w:rsid w:val="00772A49"/>
    <w:rsid w:val="00772C6C"/>
    <w:rsid w:val="007731DF"/>
    <w:rsid w:val="00773FEC"/>
    <w:rsid w:val="0077483E"/>
    <w:rsid w:val="007754C3"/>
    <w:rsid w:val="00776526"/>
    <w:rsid w:val="007768C2"/>
    <w:rsid w:val="00776C46"/>
    <w:rsid w:val="00776FCF"/>
    <w:rsid w:val="007776BC"/>
    <w:rsid w:val="00780460"/>
    <w:rsid w:val="00781547"/>
    <w:rsid w:val="00781B1D"/>
    <w:rsid w:val="00781CA8"/>
    <w:rsid w:val="00781F35"/>
    <w:rsid w:val="00782692"/>
    <w:rsid w:val="00782B93"/>
    <w:rsid w:val="00783158"/>
    <w:rsid w:val="00783F7C"/>
    <w:rsid w:val="00784288"/>
    <w:rsid w:val="00784449"/>
    <w:rsid w:val="00785E5F"/>
    <w:rsid w:val="00785F91"/>
    <w:rsid w:val="007861ED"/>
    <w:rsid w:val="00786975"/>
    <w:rsid w:val="007902A6"/>
    <w:rsid w:val="007947F7"/>
    <w:rsid w:val="00795119"/>
    <w:rsid w:val="00795607"/>
    <w:rsid w:val="0079609D"/>
    <w:rsid w:val="007A0894"/>
    <w:rsid w:val="007A1378"/>
    <w:rsid w:val="007A233D"/>
    <w:rsid w:val="007A25E6"/>
    <w:rsid w:val="007A427E"/>
    <w:rsid w:val="007A5F86"/>
    <w:rsid w:val="007A636F"/>
    <w:rsid w:val="007B3B11"/>
    <w:rsid w:val="007B4D4F"/>
    <w:rsid w:val="007B5F4A"/>
    <w:rsid w:val="007C0886"/>
    <w:rsid w:val="007C1FC2"/>
    <w:rsid w:val="007C34B3"/>
    <w:rsid w:val="007C457D"/>
    <w:rsid w:val="007C4F73"/>
    <w:rsid w:val="007C5CEB"/>
    <w:rsid w:val="007C6715"/>
    <w:rsid w:val="007C798C"/>
    <w:rsid w:val="007D2BEE"/>
    <w:rsid w:val="007D2ED6"/>
    <w:rsid w:val="007D3BE0"/>
    <w:rsid w:val="007D626F"/>
    <w:rsid w:val="007D7924"/>
    <w:rsid w:val="007E01F7"/>
    <w:rsid w:val="007E14D8"/>
    <w:rsid w:val="007E213F"/>
    <w:rsid w:val="007E2B00"/>
    <w:rsid w:val="007E2F37"/>
    <w:rsid w:val="007E34F9"/>
    <w:rsid w:val="007E3D5C"/>
    <w:rsid w:val="007E4508"/>
    <w:rsid w:val="007E67AF"/>
    <w:rsid w:val="007E6EAC"/>
    <w:rsid w:val="007F2100"/>
    <w:rsid w:val="007F585F"/>
    <w:rsid w:val="007F75F9"/>
    <w:rsid w:val="00801A9A"/>
    <w:rsid w:val="00801AB3"/>
    <w:rsid w:val="00802CED"/>
    <w:rsid w:val="00802E82"/>
    <w:rsid w:val="00805557"/>
    <w:rsid w:val="00805876"/>
    <w:rsid w:val="00805C3C"/>
    <w:rsid w:val="008066E1"/>
    <w:rsid w:val="008069D3"/>
    <w:rsid w:val="008103A0"/>
    <w:rsid w:val="00810C59"/>
    <w:rsid w:val="0081365F"/>
    <w:rsid w:val="00820FA3"/>
    <w:rsid w:val="00821051"/>
    <w:rsid w:val="0082318C"/>
    <w:rsid w:val="008262E0"/>
    <w:rsid w:val="00830F57"/>
    <w:rsid w:val="00831979"/>
    <w:rsid w:val="00835FC0"/>
    <w:rsid w:val="00840055"/>
    <w:rsid w:val="008400D8"/>
    <w:rsid w:val="0084103B"/>
    <w:rsid w:val="00842FD3"/>
    <w:rsid w:val="00844A18"/>
    <w:rsid w:val="00844BE3"/>
    <w:rsid w:val="00844E3D"/>
    <w:rsid w:val="00845023"/>
    <w:rsid w:val="00845D6C"/>
    <w:rsid w:val="00846A55"/>
    <w:rsid w:val="008471BF"/>
    <w:rsid w:val="00847351"/>
    <w:rsid w:val="0085046E"/>
    <w:rsid w:val="00850EAF"/>
    <w:rsid w:val="0085298C"/>
    <w:rsid w:val="00853421"/>
    <w:rsid w:val="00854A14"/>
    <w:rsid w:val="0085561B"/>
    <w:rsid w:val="0085571E"/>
    <w:rsid w:val="00856722"/>
    <w:rsid w:val="00856902"/>
    <w:rsid w:val="008604E5"/>
    <w:rsid w:val="008607DB"/>
    <w:rsid w:val="0086082B"/>
    <w:rsid w:val="00860E5F"/>
    <w:rsid w:val="008612B1"/>
    <w:rsid w:val="00866758"/>
    <w:rsid w:val="00867D71"/>
    <w:rsid w:val="00871394"/>
    <w:rsid w:val="00875A37"/>
    <w:rsid w:val="00877034"/>
    <w:rsid w:val="0088199B"/>
    <w:rsid w:val="00882B0D"/>
    <w:rsid w:val="0088458A"/>
    <w:rsid w:val="00886610"/>
    <w:rsid w:val="00890A37"/>
    <w:rsid w:val="0089123D"/>
    <w:rsid w:val="00891D66"/>
    <w:rsid w:val="00894293"/>
    <w:rsid w:val="008944F1"/>
    <w:rsid w:val="00895096"/>
    <w:rsid w:val="0089516E"/>
    <w:rsid w:val="00897A95"/>
    <w:rsid w:val="00897C4F"/>
    <w:rsid w:val="00897CF3"/>
    <w:rsid w:val="008A3E5B"/>
    <w:rsid w:val="008A5ACB"/>
    <w:rsid w:val="008A6EAF"/>
    <w:rsid w:val="008B051C"/>
    <w:rsid w:val="008B5E78"/>
    <w:rsid w:val="008B67B4"/>
    <w:rsid w:val="008C0487"/>
    <w:rsid w:val="008C1EF2"/>
    <w:rsid w:val="008C1FA6"/>
    <w:rsid w:val="008C1FB5"/>
    <w:rsid w:val="008C2BF7"/>
    <w:rsid w:val="008C5009"/>
    <w:rsid w:val="008C52CB"/>
    <w:rsid w:val="008C5F7A"/>
    <w:rsid w:val="008D2AF6"/>
    <w:rsid w:val="008D2BFC"/>
    <w:rsid w:val="008D33EB"/>
    <w:rsid w:val="008D3C85"/>
    <w:rsid w:val="008D4BBF"/>
    <w:rsid w:val="008E1381"/>
    <w:rsid w:val="008E378D"/>
    <w:rsid w:val="008E5464"/>
    <w:rsid w:val="008E5810"/>
    <w:rsid w:val="008E599B"/>
    <w:rsid w:val="008E5DAB"/>
    <w:rsid w:val="008E693D"/>
    <w:rsid w:val="008E693E"/>
    <w:rsid w:val="008E7EFB"/>
    <w:rsid w:val="008F04B3"/>
    <w:rsid w:val="008F0756"/>
    <w:rsid w:val="008F232C"/>
    <w:rsid w:val="008F32C7"/>
    <w:rsid w:val="008F36D6"/>
    <w:rsid w:val="008F3FC3"/>
    <w:rsid w:val="008F4633"/>
    <w:rsid w:val="008F4C85"/>
    <w:rsid w:val="008F5289"/>
    <w:rsid w:val="009010D5"/>
    <w:rsid w:val="009021AE"/>
    <w:rsid w:val="0090470A"/>
    <w:rsid w:val="00905423"/>
    <w:rsid w:val="00905971"/>
    <w:rsid w:val="00907046"/>
    <w:rsid w:val="00907EEA"/>
    <w:rsid w:val="00911D09"/>
    <w:rsid w:val="00911F81"/>
    <w:rsid w:val="00912430"/>
    <w:rsid w:val="009127A9"/>
    <w:rsid w:val="009139F7"/>
    <w:rsid w:val="009145F8"/>
    <w:rsid w:val="00916597"/>
    <w:rsid w:val="00916E33"/>
    <w:rsid w:val="00917320"/>
    <w:rsid w:val="00917C69"/>
    <w:rsid w:val="009203CE"/>
    <w:rsid w:val="009222BD"/>
    <w:rsid w:val="0092237F"/>
    <w:rsid w:val="00924412"/>
    <w:rsid w:val="009246A8"/>
    <w:rsid w:val="009301D1"/>
    <w:rsid w:val="00930B75"/>
    <w:rsid w:val="009312B4"/>
    <w:rsid w:val="0093311F"/>
    <w:rsid w:val="00935116"/>
    <w:rsid w:val="00935CF9"/>
    <w:rsid w:val="00936A2A"/>
    <w:rsid w:val="00937639"/>
    <w:rsid w:val="00937F80"/>
    <w:rsid w:val="009401BC"/>
    <w:rsid w:val="00940579"/>
    <w:rsid w:val="00940BFC"/>
    <w:rsid w:val="009437CF"/>
    <w:rsid w:val="009441A5"/>
    <w:rsid w:val="0094427E"/>
    <w:rsid w:val="00944833"/>
    <w:rsid w:val="009450C7"/>
    <w:rsid w:val="009454D0"/>
    <w:rsid w:val="00946625"/>
    <w:rsid w:val="00947620"/>
    <w:rsid w:val="00951D43"/>
    <w:rsid w:val="00952650"/>
    <w:rsid w:val="00952868"/>
    <w:rsid w:val="00954764"/>
    <w:rsid w:val="00955C59"/>
    <w:rsid w:val="0095642E"/>
    <w:rsid w:val="009602F5"/>
    <w:rsid w:val="00960E06"/>
    <w:rsid w:val="00963DB7"/>
    <w:rsid w:val="0096407F"/>
    <w:rsid w:val="0096543C"/>
    <w:rsid w:val="00966F60"/>
    <w:rsid w:val="009671C4"/>
    <w:rsid w:val="00967CA4"/>
    <w:rsid w:val="00970A64"/>
    <w:rsid w:val="0097169B"/>
    <w:rsid w:val="00975965"/>
    <w:rsid w:val="009775D3"/>
    <w:rsid w:val="00977866"/>
    <w:rsid w:val="0097787F"/>
    <w:rsid w:val="009816A9"/>
    <w:rsid w:val="009821F1"/>
    <w:rsid w:val="0098225E"/>
    <w:rsid w:val="009826A7"/>
    <w:rsid w:val="00983096"/>
    <w:rsid w:val="009843A0"/>
    <w:rsid w:val="00985BD1"/>
    <w:rsid w:val="009869D2"/>
    <w:rsid w:val="00987CF8"/>
    <w:rsid w:val="00990756"/>
    <w:rsid w:val="00990790"/>
    <w:rsid w:val="00991258"/>
    <w:rsid w:val="009917D5"/>
    <w:rsid w:val="00993A30"/>
    <w:rsid w:val="00993BDA"/>
    <w:rsid w:val="00994564"/>
    <w:rsid w:val="00994BAB"/>
    <w:rsid w:val="00995030"/>
    <w:rsid w:val="00995526"/>
    <w:rsid w:val="00995572"/>
    <w:rsid w:val="009958A0"/>
    <w:rsid w:val="00997339"/>
    <w:rsid w:val="009A0675"/>
    <w:rsid w:val="009A1F73"/>
    <w:rsid w:val="009A261B"/>
    <w:rsid w:val="009A28CD"/>
    <w:rsid w:val="009A3A24"/>
    <w:rsid w:val="009A4150"/>
    <w:rsid w:val="009A415A"/>
    <w:rsid w:val="009A55E3"/>
    <w:rsid w:val="009A5622"/>
    <w:rsid w:val="009B090D"/>
    <w:rsid w:val="009B0EAD"/>
    <w:rsid w:val="009B1C9A"/>
    <w:rsid w:val="009B21B3"/>
    <w:rsid w:val="009B21B4"/>
    <w:rsid w:val="009B25AD"/>
    <w:rsid w:val="009B29E8"/>
    <w:rsid w:val="009B2A22"/>
    <w:rsid w:val="009B45AB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897"/>
    <w:rsid w:val="009C1953"/>
    <w:rsid w:val="009C2FB0"/>
    <w:rsid w:val="009C34CA"/>
    <w:rsid w:val="009C47D0"/>
    <w:rsid w:val="009C636A"/>
    <w:rsid w:val="009D1DF8"/>
    <w:rsid w:val="009D1F57"/>
    <w:rsid w:val="009D3E35"/>
    <w:rsid w:val="009D7FD1"/>
    <w:rsid w:val="009E09B7"/>
    <w:rsid w:val="009E2B16"/>
    <w:rsid w:val="009E36BE"/>
    <w:rsid w:val="009E608A"/>
    <w:rsid w:val="009E61F4"/>
    <w:rsid w:val="009F0DEB"/>
    <w:rsid w:val="009F3704"/>
    <w:rsid w:val="009F436E"/>
    <w:rsid w:val="009F66E3"/>
    <w:rsid w:val="009F7142"/>
    <w:rsid w:val="00A00A99"/>
    <w:rsid w:val="00A02ADB"/>
    <w:rsid w:val="00A0438D"/>
    <w:rsid w:val="00A04449"/>
    <w:rsid w:val="00A04A78"/>
    <w:rsid w:val="00A07D08"/>
    <w:rsid w:val="00A10107"/>
    <w:rsid w:val="00A1084C"/>
    <w:rsid w:val="00A1119D"/>
    <w:rsid w:val="00A149DB"/>
    <w:rsid w:val="00A14D7E"/>
    <w:rsid w:val="00A1510B"/>
    <w:rsid w:val="00A15C13"/>
    <w:rsid w:val="00A20FEA"/>
    <w:rsid w:val="00A210B7"/>
    <w:rsid w:val="00A2113C"/>
    <w:rsid w:val="00A2331E"/>
    <w:rsid w:val="00A239EE"/>
    <w:rsid w:val="00A23CF0"/>
    <w:rsid w:val="00A2472F"/>
    <w:rsid w:val="00A25EB3"/>
    <w:rsid w:val="00A31974"/>
    <w:rsid w:val="00A34545"/>
    <w:rsid w:val="00A35225"/>
    <w:rsid w:val="00A3555A"/>
    <w:rsid w:val="00A357CC"/>
    <w:rsid w:val="00A35E01"/>
    <w:rsid w:val="00A35F15"/>
    <w:rsid w:val="00A36C34"/>
    <w:rsid w:val="00A36D98"/>
    <w:rsid w:val="00A37DC2"/>
    <w:rsid w:val="00A40D7E"/>
    <w:rsid w:val="00A43166"/>
    <w:rsid w:val="00A44519"/>
    <w:rsid w:val="00A458C8"/>
    <w:rsid w:val="00A47759"/>
    <w:rsid w:val="00A47B36"/>
    <w:rsid w:val="00A47DC3"/>
    <w:rsid w:val="00A51E09"/>
    <w:rsid w:val="00A52118"/>
    <w:rsid w:val="00A54311"/>
    <w:rsid w:val="00A57EE3"/>
    <w:rsid w:val="00A60547"/>
    <w:rsid w:val="00A61549"/>
    <w:rsid w:val="00A617DC"/>
    <w:rsid w:val="00A623E4"/>
    <w:rsid w:val="00A6307F"/>
    <w:rsid w:val="00A64A8D"/>
    <w:rsid w:val="00A64B00"/>
    <w:rsid w:val="00A66936"/>
    <w:rsid w:val="00A67D6F"/>
    <w:rsid w:val="00A7122C"/>
    <w:rsid w:val="00A7608D"/>
    <w:rsid w:val="00A77CCC"/>
    <w:rsid w:val="00A807B4"/>
    <w:rsid w:val="00A82003"/>
    <w:rsid w:val="00A84587"/>
    <w:rsid w:val="00A84618"/>
    <w:rsid w:val="00A86066"/>
    <w:rsid w:val="00A87926"/>
    <w:rsid w:val="00A901FE"/>
    <w:rsid w:val="00A909CD"/>
    <w:rsid w:val="00A90BF0"/>
    <w:rsid w:val="00A9192B"/>
    <w:rsid w:val="00A929E1"/>
    <w:rsid w:val="00A938B0"/>
    <w:rsid w:val="00A93944"/>
    <w:rsid w:val="00AA007C"/>
    <w:rsid w:val="00AA0C28"/>
    <w:rsid w:val="00AA0DC6"/>
    <w:rsid w:val="00AA0E9B"/>
    <w:rsid w:val="00AA3AA1"/>
    <w:rsid w:val="00AA3EDD"/>
    <w:rsid w:val="00AA52CD"/>
    <w:rsid w:val="00AA530E"/>
    <w:rsid w:val="00AA6246"/>
    <w:rsid w:val="00AA6F75"/>
    <w:rsid w:val="00AA7A19"/>
    <w:rsid w:val="00AB00F4"/>
    <w:rsid w:val="00AB0496"/>
    <w:rsid w:val="00AB09C2"/>
    <w:rsid w:val="00AB2C2F"/>
    <w:rsid w:val="00AB4C16"/>
    <w:rsid w:val="00AB607B"/>
    <w:rsid w:val="00AB645A"/>
    <w:rsid w:val="00AB6E8B"/>
    <w:rsid w:val="00AB6F32"/>
    <w:rsid w:val="00AB73FC"/>
    <w:rsid w:val="00AB792D"/>
    <w:rsid w:val="00AB7CF5"/>
    <w:rsid w:val="00AC0DAA"/>
    <w:rsid w:val="00AC1A69"/>
    <w:rsid w:val="00AC3BF1"/>
    <w:rsid w:val="00AC575F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73BC"/>
    <w:rsid w:val="00AE032C"/>
    <w:rsid w:val="00AE0F5C"/>
    <w:rsid w:val="00AE11DB"/>
    <w:rsid w:val="00AE5AF1"/>
    <w:rsid w:val="00AE6297"/>
    <w:rsid w:val="00AF20DD"/>
    <w:rsid w:val="00AF510B"/>
    <w:rsid w:val="00AF58C0"/>
    <w:rsid w:val="00AF591D"/>
    <w:rsid w:val="00AF5A06"/>
    <w:rsid w:val="00B00C4F"/>
    <w:rsid w:val="00B02EDC"/>
    <w:rsid w:val="00B032B6"/>
    <w:rsid w:val="00B06A1A"/>
    <w:rsid w:val="00B070A1"/>
    <w:rsid w:val="00B077D3"/>
    <w:rsid w:val="00B07D6E"/>
    <w:rsid w:val="00B11539"/>
    <w:rsid w:val="00B11ABD"/>
    <w:rsid w:val="00B11C51"/>
    <w:rsid w:val="00B15086"/>
    <w:rsid w:val="00B21DDA"/>
    <w:rsid w:val="00B22D28"/>
    <w:rsid w:val="00B2324A"/>
    <w:rsid w:val="00B24650"/>
    <w:rsid w:val="00B24984"/>
    <w:rsid w:val="00B26293"/>
    <w:rsid w:val="00B26D72"/>
    <w:rsid w:val="00B27E34"/>
    <w:rsid w:val="00B33AF7"/>
    <w:rsid w:val="00B34666"/>
    <w:rsid w:val="00B346D6"/>
    <w:rsid w:val="00B40D7C"/>
    <w:rsid w:val="00B41CAE"/>
    <w:rsid w:val="00B42E4D"/>
    <w:rsid w:val="00B433FC"/>
    <w:rsid w:val="00B43977"/>
    <w:rsid w:val="00B43ADD"/>
    <w:rsid w:val="00B43C06"/>
    <w:rsid w:val="00B452D5"/>
    <w:rsid w:val="00B4542F"/>
    <w:rsid w:val="00B45DD0"/>
    <w:rsid w:val="00B51C42"/>
    <w:rsid w:val="00B61AB5"/>
    <w:rsid w:val="00B62170"/>
    <w:rsid w:val="00B6474E"/>
    <w:rsid w:val="00B64B89"/>
    <w:rsid w:val="00B6639B"/>
    <w:rsid w:val="00B676F9"/>
    <w:rsid w:val="00B70752"/>
    <w:rsid w:val="00B719E0"/>
    <w:rsid w:val="00B72CB3"/>
    <w:rsid w:val="00B73206"/>
    <w:rsid w:val="00B736FC"/>
    <w:rsid w:val="00B7535F"/>
    <w:rsid w:val="00B770C4"/>
    <w:rsid w:val="00B770E0"/>
    <w:rsid w:val="00B77D67"/>
    <w:rsid w:val="00B77FC5"/>
    <w:rsid w:val="00B81DB9"/>
    <w:rsid w:val="00B81E38"/>
    <w:rsid w:val="00B83940"/>
    <w:rsid w:val="00B83D64"/>
    <w:rsid w:val="00B879AD"/>
    <w:rsid w:val="00B90D78"/>
    <w:rsid w:val="00B9181C"/>
    <w:rsid w:val="00B918EB"/>
    <w:rsid w:val="00B9357B"/>
    <w:rsid w:val="00B93CA1"/>
    <w:rsid w:val="00B947B8"/>
    <w:rsid w:val="00B95ECC"/>
    <w:rsid w:val="00B975BB"/>
    <w:rsid w:val="00BA02C0"/>
    <w:rsid w:val="00BA36F5"/>
    <w:rsid w:val="00BA7A4F"/>
    <w:rsid w:val="00BB2093"/>
    <w:rsid w:val="00BB2DA1"/>
    <w:rsid w:val="00BB338C"/>
    <w:rsid w:val="00BB3511"/>
    <w:rsid w:val="00BB3862"/>
    <w:rsid w:val="00BB56E4"/>
    <w:rsid w:val="00BB6849"/>
    <w:rsid w:val="00BB7556"/>
    <w:rsid w:val="00BB7D3A"/>
    <w:rsid w:val="00BC1CA9"/>
    <w:rsid w:val="00BC1E0D"/>
    <w:rsid w:val="00BC2311"/>
    <w:rsid w:val="00BC307C"/>
    <w:rsid w:val="00BC3FF3"/>
    <w:rsid w:val="00BC4734"/>
    <w:rsid w:val="00BC54F4"/>
    <w:rsid w:val="00BC7137"/>
    <w:rsid w:val="00BD16C1"/>
    <w:rsid w:val="00BD1A31"/>
    <w:rsid w:val="00BD3635"/>
    <w:rsid w:val="00BD38E7"/>
    <w:rsid w:val="00BD3FD3"/>
    <w:rsid w:val="00BD536A"/>
    <w:rsid w:val="00BD5948"/>
    <w:rsid w:val="00BD679A"/>
    <w:rsid w:val="00BE032C"/>
    <w:rsid w:val="00BE193A"/>
    <w:rsid w:val="00BE1CA1"/>
    <w:rsid w:val="00BE3A4E"/>
    <w:rsid w:val="00BE4B2D"/>
    <w:rsid w:val="00BE51FE"/>
    <w:rsid w:val="00BE62A3"/>
    <w:rsid w:val="00BF01EB"/>
    <w:rsid w:val="00BF08A5"/>
    <w:rsid w:val="00BF171E"/>
    <w:rsid w:val="00BF1FED"/>
    <w:rsid w:val="00BF2C85"/>
    <w:rsid w:val="00BF2E04"/>
    <w:rsid w:val="00BF3C68"/>
    <w:rsid w:val="00BF4E03"/>
    <w:rsid w:val="00BF5592"/>
    <w:rsid w:val="00BF612E"/>
    <w:rsid w:val="00BF7C1E"/>
    <w:rsid w:val="00C01CB5"/>
    <w:rsid w:val="00C0262A"/>
    <w:rsid w:val="00C028FA"/>
    <w:rsid w:val="00C02CF3"/>
    <w:rsid w:val="00C068CC"/>
    <w:rsid w:val="00C075D6"/>
    <w:rsid w:val="00C07D5F"/>
    <w:rsid w:val="00C10D17"/>
    <w:rsid w:val="00C10DA9"/>
    <w:rsid w:val="00C13B5C"/>
    <w:rsid w:val="00C144AF"/>
    <w:rsid w:val="00C15171"/>
    <w:rsid w:val="00C1542B"/>
    <w:rsid w:val="00C176A1"/>
    <w:rsid w:val="00C17F35"/>
    <w:rsid w:val="00C200BD"/>
    <w:rsid w:val="00C263EE"/>
    <w:rsid w:val="00C26471"/>
    <w:rsid w:val="00C27571"/>
    <w:rsid w:val="00C27710"/>
    <w:rsid w:val="00C27851"/>
    <w:rsid w:val="00C27CF5"/>
    <w:rsid w:val="00C32C3D"/>
    <w:rsid w:val="00C3415C"/>
    <w:rsid w:val="00C35D61"/>
    <w:rsid w:val="00C3600F"/>
    <w:rsid w:val="00C37732"/>
    <w:rsid w:val="00C4047D"/>
    <w:rsid w:val="00C426FA"/>
    <w:rsid w:val="00C45AA0"/>
    <w:rsid w:val="00C4620D"/>
    <w:rsid w:val="00C465A1"/>
    <w:rsid w:val="00C46FB2"/>
    <w:rsid w:val="00C5316F"/>
    <w:rsid w:val="00C5333E"/>
    <w:rsid w:val="00C53A1F"/>
    <w:rsid w:val="00C54181"/>
    <w:rsid w:val="00C561E9"/>
    <w:rsid w:val="00C57802"/>
    <w:rsid w:val="00C57B5C"/>
    <w:rsid w:val="00C61B12"/>
    <w:rsid w:val="00C627F7"/>
    <w:rsid w:val="00C62990"/>
    <w:rsid w:val="00C62C89"/>
    <w:rsid w:val="00C6442A"/>
    <w:rsid w:val="00C6471B"/>
    <w:rsid w:val="00C64C5D"/>
    <w:rsid w:val="00C651B2"/>
    <w:rsid w:val="00C6708B"/>
    <w:rsid w:val="00C70295"/>
    <w:rsid w:val="00C7109B"/>
    <w:rsid w:val="00C7634E"/>
    <w:rsid w:val="00C764FF"/>
    <w:rsid w:val="00C77616"/>
    <w:rsid w:val="00C77FCF"/>
    <w:rsid w:val="00C77FE5"/>
    <w:rsid w:val="00C81393"/>
    <w:rsid w:val="00C8176C"/>
    <w:rsid w:val="00C81DE2"/>
    <w:rsid w:val="00C8483B"/>
    <w:rsid w:val="00C8595D"/>
    <w:rsid w:val="00C85B57"/>
    <w:rsid w:val="00C86B2A"/>
    <w:rsid w:val="00C87A3C"/>
    <w:rsid w:val="00C90006"/>
    <w:rsid w:val="00C919A6"/>
    <w:rsid w:val="00C9308D"/>
    <w:rsid w:val="00C95246"/>
    <w:rsid w:val="00C952F4"/>
    <w:rsid w:val="00C973A4"/>
    <w:rsid w:val="00CA08C2"/>
    <w:rsid w:val="00CA2A8C"/>
    <w:rsid w:val="00CA5181"/>
    <w:rsid w:val="00CA5FB4"/>
    <w:rsid w:val="00CB02B5"/>
    <w:rsid w:val="00CB2D2C"/>
    <w:rsid w:val="00CB373C"/>
    <w:rsid w:val="00CB4AC1"/>
    <w:rsid w:val="00CB5E45"/>
    <w:rsid w:val="00CC0955"/>
    <w:rsid w:val="00CC0B23"/>
    <w:rsid w:val="00CC47F5"/>
    <w:rsid w:val="00CC5649"/>
    <w:rsid w:val="00CC7507"/>
    <w:rsid w:val="00CC78C7"/>
    <w:rsid w:val="00CD1C16"/>
    <w:rsid w:val="00CD241B"/>
    <w:rsid w:val="00CD65BD"/>
    <w:rsid w:val="00CD6C38"/>
    <w:rsid w:val="00CD7494"/>
    <w:rsid w:val="00CE0660"/>
    <w:rsid w:val="00CE0E6D"/>
    <w:rsid w:val="00CE10CF"/>
    <w:rsid w:val="00CE441D"/>
    <w:rsid w:val="00CE4C8A"/>
    <w:rsid w:val="00CE5D91"/>
    <w:rsid w:val="00CE6924"/>
    <w:rsid w:val="00CF09FE"/>
    <w:rsid w:val="00CF1460"/>
    <w:rsid w:val="00CF3187"/>
    <w:rsid w:val="00CF5961"/>
    <w:rsid w:val="00CF6B6C"/>
    <w:rsid w:val="00CF7780"/>
    <w:rsid w:val="00D00222"/>
    <w:rsid w:val="00D005F8"/>
    <w:rsid w:val="00D00AA2"/>
    <w:rsid w:val="00D0433B"/>
    <w:rsid w:val="00D04BA8"/>
    <w:rsid w:val="00D06AA9"/>
    <w:rsid w:val="00D0736E"/>
    <w:rsid w:val="00D07A87"/>
    <w:rsid w:val="00D1112A"/>
    <w:rsid w:val="00D12D8E"/>
    <w:rsid w:val="00D13EF9"/>
    <w:rsid w:val="00D14124"/>
    <w:rsid w:val="00D1438A"/>
    <w:rsid w:val="00D14500"/>
    <w:rsid w:val="00D14BEB"/>
    <w:rsid w:val="00D15909"/>
    <w:rsid w:val="00D15E73"/>
    <w:rsid w:val="00D163EB"/>
    <w:rsid w:val="00D166DB"/>
    <w:rsid w:val="00D16A8C"/>
    <w:rsid w:val="00D21439"/>
    <w:rsid w:val="00D21986"/>
    <w:rsid w:val="00D2281E"/>
    <w:rsid w:val="00D24CA3"/>
    <w:rsid w:val="00D25335"/>
    <w:rsid w:val="00D25B81"/>
    <w:rsid w:val="00D26606"/>
    <w:rsid w:val="00D26F01"/>
    <w:rsid w:val="00D27E61"/>
    <w:rsid w:val="00D307EB"/>
    <w:rsid w:val="00D30ACA"/>
    <w:rsid w:val="00D31585"/>
    <w:rsid w:val="00D31728"/>
    <w:rsid w:val="00D31DDF"/>
    <w:rsid w:val="00D32FBA"/>
    <w:rsid w:val="00D333DC"/>
    <w:rsid w:val="00D335E3"/>
    <w:rsid w:val="00D36887"/>
    <w:rsid w:val="00D36B90"/>
    <w:rsid w:val="00D37965"/>
    <w:rsid w:val="00D40197"/>
    <w:rsid w:val="00D43306"/>
    <w:rsid w:val="00D43E07"/>
    <w:rsid w:val="00D4442A"/>
    <w:rsid w:val="00D44503"/>
    <w:rsid w:val="00D44AD5"/>
    <w:rsid w:val="00D45113"/>
    <w:rsid w:val="00D46675"/>
    <w:rsid w:val="00D47588"/>
    <w:rsid w:val="00D52145"/>
    <w:rsid w:val="00D53609"/>
    <w:rsid w:val="00D539C4"/>
    <w:rsid w:val="00D546F8"/>
    <w:rsid w:val="00D62E0E"/>
    <w:rsid w:val="00D63A38"/>
    <w:rsid w:val="00D63C61"/>
    <w:rsid w:val="00D66610"/>
    <w:rsid w:val="00D6667A"/>
    <w:rsid w:val="00D70E1B"/>
    <w:rsid w:val="00D71899"/>
    <w:rsid w:val="00D74293"/>
    <w:rsid w:val="00D74963"/>
    <w:rsid w:val="00D75EFD"/>
    <w:rsid w:val="00D75F18"/>
    <w:rsid w:val="00D76AA7"/>
    <w:rsid w:val="00D76F6E"/>
    <w:rsid w:val="00D7761A"/>
    <w:rsid w:val="00D80173"/>
    <w:rsid w:val="00D81344"/>
    <w:rsid w:val="00D83D76"/>
    <w:rsid w:val="00D8462B"/>
    <w:rsid w:val="00D8477E"/>
    <w:rsid w:val="00D85287"/>
    <w:rsid w:val="00D85E0E"/>
    <w:rsid w:val="00D87046"/>
    <w:rsid w:val="00D9035D"/>
    <w:rsid w:val="00D95FE4"/>
    <w:rsid w:val="00D96210"/>
    <w:rsid w:val="00DA0B07"/>
    <w:rsid w:val="00DA2C6D"/>
    <w:rsid w:val="00DA3D0E"/>
    <w:rsid w:val="00DA464A"/>
    <w:rsid w:val="00DA465A"/>
    <w:rsid w:val="00DA52CE"/>
    <w:rsid w:val="00DA6108"/>
    <w:rsid w:val="00DA6874"/>
    <w:rsid w:val="00DA72C2"/>
    <w:rsid w:val="00DA7609"/>
    <w:rsid w:val="00DB0930"/>
    <w:rsid w:val="00DB4653"/>
    <w:rsid w:val="00DB4E32"/>
    <w:rsid w:val="00DC0C3E"/>
    <w:rsid w:val="00DC21D5"/>
    <w:rsid w:val="00DC43D2"/>
    <w:rsid w:val="00DC49E7"/>
    <w:rsid w:val="00DD11F3"/>
    <w:rsid w:val="00DD1587"/>
    <w:rsid w:val="00DD1A6D"/>
    <w:rsid w:val="00DD25E5"/>
    <w:rsid w:val="00DD2643"/>
    <w:rsid w:val="00DD2868"/>
    <w:rsid w:val="00DD2D58"/>
    <w:rsid w:val="00DD38ED"/>
    <w:rsid w:val="00DD3E15"/>
    <w:rsid w:val="00DD47B9"/>
    <w:rsid w:val="00DD5008"/>
    <w:rsid w:val="00DD5EA1"/>
    <w:rsid w:val="00DE0E50"/>
    <w:rsid w:val="00DE25B3"/>
    <w:rsid w:val="00DE358E"/>
    <w:rsid w:val="00DE3826"/>
    <w:rsid w:val="00DE3E10"/>
    <w:rsid w:val="00DE55A5"/>
    <w:rsid w:val="00DF1A45"/>
    <w:rsid w:val="00DF1A71"/>
    <w:rsid w:val="00DF2EE8"/>
    <w:rsid w:val="00DF2F86"/>
    <w:rsid w:val="00DF3B07"/>
    <w:rsid w:val="00DF4729"/>
    <w:rsid w:val="00DF4DFD"/>
    <w:rsid w:val="00DF5170"/>
    <w:rsid w:val="00DF5930"/>
    <w:rsid w:val="00DF6039"/>
    <w:rsid w:val="00DF721A"/>
    <w:rsid w:val="00E0016E"/>
    <w:rsid w:val="00E001F6"/>
    <w:rsid w:val="00E00D2C"/>
    <w:rsid w:val="00E01E5F"/>
    <w:rsid w:val="00E02E75"/>
    <w:rsid w:val="00E0494C"/>
    <w:rsid w:val="00E0643F"/>
    <w:rsid w:val="00E06EB2"/>
    <w:rsid w:val="00E07086"/>
    <w:rsid w:val="00E072A4"/>
    <w:rsid w:val="00E11912"/>
    <w:rsid w:val="00E12E07"/>
    <w:rsid w:val="00E14092"/>
    <w:rsid w:val="00E14620"/>
    <w:rsid w:val="00E14BF3"/>
    <w:rsid w:val="00E1784F"/>
    <w:rsid w:val="00E207E4"/>
    <w:rsid w:val="00E217B6"/>
    <w:rsid w:val="00E2286F"/>
    <w:rsid w:val="00E22995"/>
    <w:rsid w:val="00E24DC1"/>
    <w:rsid w:val="00E26C38"/>
    <w:rsid w:val="00E27CFE"/>
    <w:rsid w:val="00E307F7"/>
    <w:rsid w:val="00E30ADF"/>
    <w:rsid w:val="00E30B4C"/>
    <w:rsid w:val="00E3276C"/>
    <w:rsid w:val="00E32875"/>
    <w:rsid w:val="00E330C3"/>
    <w:rsid w:val="00E368FE"/>
    <w:rsid w:val="00E37DF2"/>
    <w:rsid w:val="00E405D3"/>
    <w:rsid w:val="00E41415"/>
    <w:rsid w:val="00E41E37"/>
    <w:rsid w:val="00E434EA"/>
    <w:rsid w:val="00E43B13"/>
    <w:rsid w:val="00E43D10"/>
    <w:rsid w:val="00E457E8"/>
    <w:rsid w:val="00E47012"/>
    <w:rsid w:val="00E471D8"/>
    <w:rsid w:val="00E510CC"/>
    <w:rsid w:val="00E51D84"/>
    <w:rsid w:val="00E52414"/>
    <w:rsid w:val="00E54B38"/>
    <w:rsid w:val="00E55B82"/>
    <w:rsid w:val="00E60193"/>
    <w:rsid w:val="00E60654"/>
    <w:rsid w:val="00E615E9"/>
    <w:rsid w:val="00E616B2"/>
    <w:rsid w:val="00E629E1"/>
    <w:rsid w:val="00E63E03"/>
    <w:rsid w:val="00E64073"/>
    <w:rsid w:val="00E6431F"/>
    <w:rsid w:val="00E64323"/>
    <w:rsid w:val="00E65546"/>
    <w:rsid w:val="00E65969"/>
    <w:rsid w:val="00E7029F"/>
    <w:rsid w:val="00E7116E"/>
    <w:rsid w:val="00E71E89"/>
    <w:rsid w:val="00E73E8A"/>
    <w:rsid w:val="00E7742F"/>
    <w:rsid w:val="00E77FAC"/>
    <w:rsid w:val="00E77FAD"/>
    <w:rsid w:val="00E8017A"/>
    <w:rsid w:val="00E8125A"/>
    <w:rsid w:val="00E817E5"/>
    <w:rsid w:val="00E81E59"/>
    <w:rsid w:val="00E84941"/>
    <w:rsid w:val="00E84FE3"/>
    <w:rsid w:val="00E86448"/>
    <w:rsid w:val="00E86679"/>
    <w:rsid w:val="00E90FFD"/>
    <w:rsid w:val="00E9123D"/>
    <w:rsid w:val="00E97196"/>
    <w:rsid w:val="00EA0AE8"/>
    <w:rsid w:val="00EA101D"/>
    <w:rsid w:val="00EA110C"/>
    <w:rsid w:val="00EA1D4E"/>
    <w:rsid w:val="00EA2719"/>
    <w:rsid w:val="00EA3442"/>
    <w:rsid w:val="00EA72A3"/>
    <w:rsid w:val="00EB106B"/>
    <w:rsid w:val="00EB108C"/>
    <w:rsid w:val="00EB235D"/>
    <w:rsid w:val="00EB3473"/>
    <w:rsid w:val="00EB4ABF"/>
    <w:rsid w:val="00EB696D"/>
    <w:rsid w:val="00EB71C9"/>
    <w:rsid w:val="00EC1140"/>
    <w:rsid w:val="00EC3F24"/>
    <w:rsid w:val="00EC4F37"/>
    <w:rsid w:val="00EC63E3"/>
    <w:rsid w:val="00EC6F56"/>
    <w:rsid w:val="00EC77F0"/>
    <w:rsid w:val="00EC7C82"/>
    <w:rsid w:val="00ED107C"/>
    <w:rsid w:val="00ED1929"/>
    <w:rsid w:val="00ED34D5"/>
    <w:rsid w:val="00ED4B41"/>
    <w:rsid w:val="00ED4C33"/>
    <w:rsid w:val="00ED5727"/>
    <w:rsid w:val="00ED5E3D"/>
    <w:rsid w:val="00ED629E"/>
    <w:rsid w:val="00ED6459"/>
    <w:rsid w:val="00ED7987"/>
    <w:rsid w:val="00EE3410"/>
    <w:rsid w:val="00EE5E04"/>
    <w:rsid w:val="00EE5EF8"/>
    <w:rsid w:val="00EE61DC"/>
    <w:rsid w:val="00EE703F"/>
    <w:rsid w:val="00EF2A7C"/>
    <w:rsid w:val="00EF313D"/>
    <w:rsid w:val="00EF5642"/>
    <w:rsid w:val="00F00B8C"/>
    <w:rsid w:val="00F00F62"/>
    <w:rsid w:val="00F023EB"/>
    <w:rsid w:val="00F02E5A"/>
    <w:rsid w:val="00F03EAC"/>
    <w:rsid w:val="00F04053"/>
    <w:rsid w:val="00F04204"/>
    <w:rsid w:val="00F04850"/>
    <w:rsid w:val="00F04973"/>
    <w:rsid w:val="00F04B54"/>
    <w:rsid w:val="00F04DDE"/>
    <w:rsid w:val="00F06C60"/>
    <w:rsid w:val="00F1006D"/>
    <w:rsid w:val="00F107CD"/>
    <w:rsid w:val="00F10DE4"/>
    <w:rsid w:val="00F11363"/>
    <w:rsid w:val="00F11A47"/>
    <w:rsid w:val="00F12071"/>
    <w:rsid w:val="00F15B9B"/>
    <w:rsid w:val="00F1699A"/>
    <w:rsid w:val="00F1744A"/>
    <w:rsid w:val="00F17538"/>
    <w:rsid w:val="00F17BEF"/>
    <w:rsid w:val="00F21498"/>
    <w:rsid w:val="00F21867"/>
    <w:rsid w:val="00F22366"/>
    <w:rsid w:val="00F23EA8"/>
    <w:rsid w:val="00F244EA"/>
    <w:rsid w:val="00F246FB"/>
    <w:rsid w:val="00F24FD2"/>
    <w:rsid w:val="00F252EC"/>
    <w:rsid w:val="00F2568C"/>
    <w:rsid w:val="00F2710A"/>
    <w:rsid w:val="00F27AE8"/>
    <w:rsid w:val="00F33392"/>
    <w:rsid w:val="00F3423F"/>
    <w:rsid w:val="00F34D49"/>
    <w:rsid w:val="00F3609B"/>
    <w:rsid w:val="00F370F2"/>
    <w:rsid w:val="00F37D37"/>
    <w:rsid w:val="00F4399E"/>
    <w:rsid w:val="00F443B9"/>
    <w:rsid w:val="00F46BE6"/>
    <w:rsid w:val="00F471CF"/>
    <w:rsid w:val="00F473F2"/>
    <w:rsid w:val="00F47DEB"/>
    <w:rsid w:val="00F50A29"/>
    <w:rsid w:val="00F5380C"/>
    <w:rsid w:val="00F54FF7"/>
    <w:rsid w:val="00F5591C"/>
    <w:rsid w:val="00F55DD3"/>
    <w:rsid w:val="00F56112"/>
    <w:rsid w:val="00F57323"/>
    <w:rsid w:val="00F57D03"/>
    <w:rsid w:val="00F61EF7"/>
    <w:rsid w:val="00F623A7"/>
    <w:rsid w:val="00F63F65"/>
    <w:rsid w:val="00F64698"/>
    <w:rsid w:val="00F64BB9"/>
    <w:rsid w:val="00F64FE3"/>
    <w:rsid w:val="00F655AB"/>
    <w:rsid w:val="00F71181"/>
    <w:rsid w:val="00F7419D"/>
    <w:rsid w:val="00F747BD"/>
    <w:rsid w:val="00F75C31"/>
    <w:rsid w:val="00F76346"/>
    <w:rsid w:val="00F76D22"/>
    <w:rsid w:val="00F7787A"/>
    <w:rsid w:val="00F81730"/>
    <w:rsid w:val="00F82590"/>
    <w:rsid w:val="00F84CA2"/>
    <w:rsid w:val="00F85643"/>
    <w:rsid w:val="00F85661"/>
    <w:rsid w:val="00F86AAD"/>
    <w:rsid w:val="00F86F3B"/>
    <w:rsid w:val="00F87455"/>
    <w:rsid w:val="00F8779E"/>
    <w:rsid w:val="00F902A6"/>
    <w:rsid w:val="00F903EA"/>
    <w:rsid w:val="00F9046D"/>
    <w:rsid w:val="00F911B1"/>
    <w:rsid w:val="00F92974"/>
    <w:rsid w:val="00F92E9E"/>
    <w:rsid w:val="00F931EB"/>
    <w:rsid w:val="00F95D12"/>
    <w:rsid w:val="00F9672A"/>
    <w:rsid w:val="00FA0F65"/>
    <w:rsid w:val="00FA1C9E"/>
    <w:rsid w:val="00FA2422"/>
    <w:rsid w:val="00FA2C91"/>
    <w:rsid w:val="00FA378A"/>
    <w:rsid w:val="00FA4963"/>
    <w:rsid w:val="00FA4B62"/>
    <w:rsid w:val="00FA5175"/>
    <w:rsid w:val="00FA5E2C"/>
    <w:rsid w:val="00FA630A"/>
    <w:rsid w:val="00FA7432"/>
    <w:rsid w:val="00FA7F6A"/>
    <w:rsid w:val="00FB0C61"/>
    <w:rsid w:val="00FB0EDA"/>
    <w:rsid w:val="00FB1337"/>
    <w:rsid w:val="00FB1992"/>
    <w:rsid w:val="00FB4EC5"/>
    <w:rsid w:val="00FB5EB8"/>
    <w:rsid w:val="00FB629D"/>
    <w:rsid w:val="00FB6BFC"/>
    <w:rsid w:val="00FB7EA0"/>
    <w:rsid w:val="00FC01DA"/>
    <w:rsid w:val="00FC2CB7"/>
    <w:rsid w:val="00FC32FD"/>
    <w:rsid w:val="00FC36D9"/>
    <w:rsid w:val="00FC3829"/>
    <w:rsid w:val="00FC3C4A"/>
    <w:rsid w:val="00FC52E8"/>
    <w:rsid w:val="00FC5757"/>
    <w:rsid w:val="00FC730C"/>
    <w:rsid w:val="00FC73E9"/>
    <w:rsid w:val="00FD0D6C"/>
    <w:rsid w:val="00FD23B3"/>
    <w:rsid w:val="00FD3667"/>
    <w:rsid w:val="00FD47E6"/>
    <w:rsid w:val="00FD4A24"/>
    <w:rsid w:val="00FD50F4"/>
    <w:rsid w:val="00FD52BB"/>
    <w:rsid w:val="00FD5690"/>
    <w:rsid w:val="00FD697B"/>
    <w:rsid w:val="00FD6C49"/>
    <w:rsid w:val="00FD702E"/>
    <w:rsid w:val="00FD791C"/>
    <w:rsid w:val="00FE16B4"/>
    <w:rsid w:val="00FE22E8"/>
    <w:rsid w:val="00FE2B5F"/>
    <w:rsid w:val="00FE2F63"/>
    <w:rsid w:val="00FE3C61"/>
    <w:rsid w:val="00FE54DE"/>
    <w:rsid w:val="00FF2800"/>
    <w:rsid w:val="00FF32B9"/>
    <w:rsid w:val="00FF3484"/>
    <w:rsid w:val="00FF3CCA"/>
    <w:rsid w:val="00FF54B4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men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Jak kształtują się następujące obszary w relacji do minionego roku w Pana/Pani firmie? 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278504672897196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Wzrost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0.35</c:v>
                </c:pt>
                <c:pt idx="1">
                  <c:v>0.47</c:v>
                </c:pt>
                <c:pt idx="2">
                  <c:v>0.14000000000000001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507-A4F1-F49B7E84A3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 zmian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0.45</c:v>
                </c:pt>
                <c:pt idx="2">
                  <c:v>0.64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B0-4507-A4F1-F49B7E84A33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Spadek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0.09</c:v>
                </c:pt>
                <c:pt idx="1">
                  <c:v>0.02</c:v>
                </c:pt>
                <c:pt idx="2">
                  <c:v>0.04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B0-4507-A4F1-F49B7E84A33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dLbl>
              <c:idx val="0"/>
              <c:layout>
                <c:manualLayout>
                  <c:x val="2.2895806248517999E-2"/>
                  <c:y val="5.48711898817525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B0-4507-A4F1-F49B7E84A33E}"/>
                </c:ext>
              </c:extLst>
            </c:dLbl>
            <c:dLbl>
              <c:idx val="1"/>
              <c:layout>
                <c:manualLayout>
                  <c:x val="3.6488990278084402E-2"/>
                  <c:y val="5.48711898817525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B0-4507-A4F1-F49B7E84A33E}"/>
                </c:ext>
              </c:extLst>
            </c:dLbl>
            <c:dLbl>
              <c:idx val="2"/>
              <c:layout>
                <c:manualLayout>
                  <c:x val="1.5586299376129386E-2"/>
                  <c:y val="2.74685176548053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B0-4507-A4F1-F49B7E84A33E}"/>
                </c:ext>
              </c:extLst>
            </c:dLbl>
            <c:dLbl>
              <c:idx val="3"/>
              <c:layout>
                <c:manualLayout>
                  <c:x val="7.0300324608956587E-3"/>
                  <c:y val="5.49315481906225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B0-4507-A4F1-F49B7E84A33E}"/>
                </c:ext>
              </c:extLst>
            </c:dLbl>
            <c:dLbl>
              <c:idx val="4"/>
              <c:layout>
                <c:manualLayout>
                  <c:x val="2.3421842017553433E-2"/>
                  <c:y val="2.7463830604321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B0-4507-A4F1-F49B7E84A33E}"/>
                </c:ext>
              </c:extLst>
            </c:dLbl>
            <c:dLbl>
              <c:idx val="5"/>
              <c:layout>
                <c:manualLayout>
                  <c:x val="4.2114394696885528E-2"/>
                  <c:y val="-2.7459505932151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B0-4507-A4F1-F49B7E84A33E}"/>
                </c:ext>
              </c:extLst>
            </c:dLbl>
            <c:dLbl>
              <c:idx val="6"/>
              <c:layout>
                <c:manualLayout>
                  <c:x val="5.0564381735362735E-2"/>
                  <c:y val="-5.49233365364728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B0-4507-A4F1-F49B7E84A3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Arkusz1!$E$2:$E$5</c:f>
              <c:numCache>
                <c:formatCode>0%</c:formatCode>
                <c:ptCount val="4"/>
                <c:pt idx="0">
                  <c:v>0</c:v>
                </c:pt>
                <c:pt idx="1">
                  <c:v>0.06</c:v>
                </c:pt>
                <c:pt idx="2">
                  <c:v>0.18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B0-4507-A4F1-F49B7E84A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294587800"/>
        <c:axId val="294588584"/>
      </c:barChart>
      <c:catAx>
        <c:axId val="294587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294588584"/>
        <c:crosses val="autoZero"/>
        <c:auto val="1"/>
        <c:lblAlgn val="ctr"/>
        <c:lblOffset val="100"/>
        <c:noMultiLvlLbl val="0"/>
      </c:catAx>
      <c:valAx>
        <c:axId val="29458858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9458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Przygotowanie do konkurowania w stosunku do firm zagranicznych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860020768431983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Bardziej konkurencyjni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Arkusz1!$A$2</c:f>
              <c:numCache>
                <c:formatCode>0.0%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0414-452F-BA25-90D69C1FF0F4}"/>
            </c:ext>
          </c:extLst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Tak samo konkurencyjni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</c:f>
              <c:numCache>
                <c:formatCode>0.0%</c:formatCode>
                <c:ptCount val="1"/>
                <c:pt idx="0">
                  <c:v>0.32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0414-452F-BA25-90D69C1FF0F4}"/>
            </c:ext>
          </c:extLst>
        </c:ser>
        <c:ser>
          <c:idx val="2"/>
          <c:order val="2"/>
          <c:tx>
            <c:strRef>
              <c:f>Arkusz1!$C$1</c:f>
              <c:strCache>
                <c:ptCount val="1"/>
                <c:pt idx="0">
                  <c:v>Mniej konkurencyjni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Arkusz1!$C$2</c:f>
              <c:numCache>
                <c:formatCode>0.0%</c:formatCode>
                <c:ptCount val="1"/>
                <c:pt idx="0">
                  <c:v>0.31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2-0414-452F-BA25-90D69C1FF0F4}"/>
            </c:ext>
          </c:extLst>
        </c:ser>
        <c:ser>
          <c:idx val="3"/>
          <c:order val="3"/>
          <c:tx>
            <c:strRef>
              <c:f>Arkusz1!$D$1</c:f>
              <c:strCache>
                <c:ptCount val="1"/>
                <c:pt idx="0">
                  <c:v>To zależy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Arkusz1!$D$2</c:f>
              <c:numCache>
                <c:formatCode>0.0%</c:formatCode>
                <c:ptCount val="1"/>
                <c:pt idx="0">
                  <c:v>0.22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0414-452F-BA25-90D69C1FF0F4}"/>
            </c:ext>
          </c:extLst>
        </c:ser>
        <c:ser>
          <c:idx val="4"/>
          <c:order val="4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Arkusz1!$E$2</c:f>
              <c:numCache>
                <c:formatCode>0.0%</c:formatCode>
                <c:ptCount val="1"/>
                <c:pt idx="0">
                  <c:v>0.08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B-0414-452F-BA25-90D69C1FF0F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294582704"/>
        <c:axId val="294584272"/>
      </c:barChart>
      <c:catAx>
        <c:axId val="294582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4584272"/>
        <c:crosses val="autoZero"/>
        <c:auto val="1"/>
        <c:lblAlgn val="ctr"/>
        <c:lblOffset val="100"/>
        <c:noMultiLvlLbl val="0"/>
      </c:catAx>
      <c:valAx>
        <c:axId val="29458427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29458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Wykorzystywane</a:t>
            </a:r>
            <a:r>
              <a:rPr lang="pl-PL" sz="1200" b="1" baseline="0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 ź</a:t>
            </a: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ródła finansowania parku maszyn i urządzeń*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</c:v>
                </c:pt>
              </c:strCache>
            </c:strRef>
          </c:tx>
          <c:spPr>
            <a:solidFill>
              <a:srgbClr val="0EA615"/>
            </a:solidFill>
            <a:ln>
              <a:noFill/>
            </a:ln>
            <a:effectLst>
              <a:glow rad="38100">
                <a:schemeClr val="tx1"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615B-4BE9-AF07-4F301312353A}"/>
              </c:ext>
            </c:extLst>
          </c:dPt>
          <c:dPt>
            <c:idx val="1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615B-4BE9-AF07-4F301312353A}"/>
              </c:ext>
            </c:extLst>
          </c:dPt>
          <c:dPt>
            <c:idx val="2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615B-4BE9-AF07-4F301312353A}"/>
              </c:ext>
            </c:extLst>
          </c:dPt>
          <c:dPt>
            <c:idx val="3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254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615B-4BE9-AF07-4F30131235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Środki własne</c:v>
                </c:pt>
                <c:pt idx="1">
                  <c:v>Leasing</c:v>
                </c:pt>
                <c:pt idx="2">
                  <c:v>Kredyt</c:v>
                </c:pt>
                <c:pt idx="3">
                  <c:v>Dotacje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0.69099999999999995</c:v>
                </c:pt>
                <c:pt idx="1">
                  <c:v>0.38100000000000001</c:v>
                </c:pt>
                <c:pt idx="2">
                  <c:v>0.22700000000000001</c:v>
                </c:pt>
                <c:pt idx="3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D-4359-9B72-3ED4C394D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10"/>
        <c:axId val="294095296"/>
        <c:axId val="294094904"/>
      </c:barChart>
      <c:catAx>
        <c:axId val="2940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294094904"/>
        <c:crosses val="autoZero"/>
        <c:auto val="1"/>
        <c:lblAlgn val="ctr"/>
        <c:lblOffset val="100"/>
        <c:noMultiLvlLbl val="0"/>
      </c:catAx>
      <c:valAx>
        <c:axId val="2940949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940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23B2-04B0-4CD3-BCA8-346E1CF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47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12</cp:revision>
  <cp:lastPrinted>2020-03-22T13:25:00Z</cp:lastPrinted>
  <dcterms:created xsi:type="dcterms:W3CDTF">2020-09-03T07:29:00Z</dcterms:created>
  <dcterms:modified xsi:type="dcterms:W3CDTF">2020-09-11T14:25:00Z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</Properties>
</file>